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41" w:rsidRPr="00951515" w:rsidRDefault="00D0528B" w:rsidP="00F64AB3">
      <w:pPr>
        <w:pStyle w:val="Heading11"/>
      </w:pPr>
      <w:bookmarkStart w:id="0" w:name="OLE_LINK1"/>
      <w:bookmarkStart w:id="1" w:name="OLE_LINK2"/>
      <w:bookmarkStart w:id="2" w:name="_GoBack"/>
      <w:bookmarkEnd w:id="2"/>
      <w:r>
        <w:t xml:space="preserve">THE </w:t>
      </w:r>
      <w:r w:rsidR="00F64AB3">
        <w:t xml:space="preserve">FEDERAL </w:t>
      </w:r>
      <w:r w:rsidR="00372747">
        <w:t xml:space="preserve">CIRCUIT COURT OF AUSTRALIA DEATH AND INVALIDITY </w:t>
      </w:r>
      <w:r w:rsidR="00F64AB3">
        <w:t>SCHEME</w:t>
      </w:r>
      <w:r w:rsidR="00F64AB3">
        <w:br/>
      </w:r>
      <w:r w:rsidR="00FD509D">
        <w:t>A REPORT ON THE LONG TERM COSTS, CARRIED OUT BY THE AUSTRALIAN GOVERNMENT ACTUARY USING DATA TO 30 JUNE 201</w:t>
      </w:r>
      <w:bookmarkEnd w:id="0"/>
      <w:bookmarkEnd w:id="1"/>
      <w:r w:rsidR="00372747">
        <w:t>4</w:t>
      </w:r>
    </w:p>
    <w:p w:rsidR="005D3941" w:rsidRDefault="005D3941"/>
    <w:p w:rsidR="00DC4536" w:rsidRDefault="00DC4536" w:rsidP="00DC4536">
      <w:pPr>
        <w:rPr>
          <w:b/>
        </w:rPr>
      </w:pPr>
    </w:p>
    <w:p w:rsidR="005D3941" w:rsidRDefault="005D3941">
      <w:pPr>
        <w:sectPr w:rsidR="005D3941" w:rsidSect="00E03BD5">
          <w:headerReference w:type="even" r:id="rId8"/>
          <w:headerReference w:type="default" r:id="rId9"/>
          <w:footerReference w:type="default" r:id="rId10"/>
          <w:headerReference w:type="first" r:id="rId11"/>
          <w:footerReference w:type="first" r:id="rId12"/>
          <w:pgSz w:w="11906" w:h="16838"/>
          <w:pgMar w:top="1440" w:right="1797" w:bottom="1440" w:left="1797" w:header="709" w:footer="709" w:gutter="0"/>
          <w:cols w:space="708"/>
          <w:titlePg/>
          <w:docGrid w:linePitch="360"/>
        </w:sectPr>
      </w:pPr>
    </w:p>
    <w:p w:rsidR="00B94FB4" w:rsidRPr="007D7583" w:rsidRDefault="007D7583" w:rsidP="005D3941">
      <w:pPr>
        <w:pStyle w:val="TableofContentsTitle"/>
      </w:pPr>
      <w:r w:rsidRPr="007D7583">
        <w:lastRenderedPageBreak/>
        <w:t>TABLE OF CONTENTS</w:t>
      </w:r>
    </w:p>
    <w:p w:rsidR="00030F42" w:rsidRDefault="00620F57">
      <w:pPr>
        <w:pStyle w:val="TOC1"/>
        <w:rPr>
          <w:rFonts w:ascii="Calibri" w:hAnsi="Calibri" w:cs="Times New Roman"/>
          <w:b w:val="0"/>
          <w:bCs w:val="0"/>
          <w:caps w:val="0"/>
          <w:noProof/>
          <w:sz w:val="22"/>
          <w:szCs w:val="22"/>
          <w:lang w:eastAsia="en-AU"/>
        </w:rPr>
      </w:pPr>
      <w:r>
        <w:fldChar w:fldCharType="begin"/>
      </w:r>
      <w:r w:rsidR="00A80796">
        <w:instrText xml:space="preserve"> TOC \o "1-1" \h \z \u </w:instrText>
      </w:r>
      <w:r>
        <w:fldChar w:fldCharType="separate"/>
      </w:r>
      <w:hyperlink w:anchor="_Toc328130124" w:history="1">
        <w:r w:rsidR="00030F42" w:rsidRPr="00DA1752">
          <w:rPr>
            <w:rStyle w:val="Hyperlink"/>
            <w:noProof/>
          </w:rPr>
          <w:t>1</w:t>
        </w:r>
        <w:r w:rsidR="00030F42">
          <w:rPr>
            <w:rFonts w:ascii="Calibri" w:hAnsi="Calibri" w:cs="Times New Roman"/>
            <w:b w:val="0"/>
            <w:bCs w:val="0"/>
            <w:caps w:val="0"/>
            <w:noProof/>
            <w:sz w:val="22"/>
            <w:szCs w:val="22"/>
            <w:lang w:eastAsia="en-AU"/>
          </w:rPr>
          <w:tab/>
        </w:r>
        <w:r w:rsidR="00030F42" w:rsidRPr="00DA1752">
          <w:rPr>
            <w:rStyle w:val="Hyperlink"/>
            <w:noProof/>
          </w:rPr>
          <w:t>SUMMARY</w:t>
        </w:r>
        <w:r w:rsidR="00030F42">
          <w:rPr>
            <w:noProof/>
            <w:webHidden/>
          </w:rPr>
          <w:tab/>
        </w:r>
        <w:r w:rsidR="007D25D7">
          <w:rPr>
            <w:noProof/>
            <w:webHidden/>
          </w:rPr>
          <w:t>3</w:t>
        </w:r>
      </w:hyperlink>
    </w:p>
    <w:p w:rsidR="00030F42" w:rsidRDefault="00FA78CE">
      <w:pPr>
        <w:pStyle w:val="TOC1"/>
        <w:rPr>
          <w:rFonts w:ascii="Calibri" w:hAnsi="Calibri" w:cs="Times New Roman"/>
          <w:b w:val="0"/>
          <w:bCs w:val="0"/>
          <w:caps w:val="0"/>
          <w:noProof/>
          <w:sz w:val="22"/>
          <w:szCs w:val="22"/>
          <w:lang w:eastAsia="en-AU"/>
        </w:rPr>
      </w:pPr>
      <w:hyperlink w:anchor="_Toc328130125" w:history="1">
        <w:r w:rsidR="00030F42" w:rsidRPr="00DA1752">
          <w:rPr>
            <w:rStyle w:val="Hyperlink"/>
            <w:noProof/>
          </w:rPr>
          <w:t>2</w:t>
        </w:r>
        <w:r w:rsidR="00030F42">
          <w:rPr>
            <w:rFonts w:ascii="Calibri" w:hAnsi="Calibri" w:cs="Times New Roman"/>
            <w:b w:val="0"/>
            <w:bCs w:val="0"/>
            <w:caps w:val="0"/>
            <w:noProof/>
            <w:sz w:val="22"/>
            <w:szCs w:val="22"/>
            <w:lang w:eastAsia="en-AU"/>
          </w:rPr>
          <w:tab/>
        </w:r>
        <w:r w:rsidR="00030F42" w:rsidRPr="00DA1752">
          <w:rPr>
            <w:rStyle w:val="Hyperlink"/>
            <w:noProof/>
          </w:rPr>
          <w:t>INTRODUCTION</w:t>
        </w:r>
        <w:r w:rsidR="00030F42">
          <w:rPr>
            <w:noProof/>
            <w:webHidden/>
          </w:rPr>
          <w:tab/>
        </w:r>
        <w:r w:rsidR="007D25D7">
          <w:rPr>
            <w:noProof/>
            <w:webHidden/>
          </w:rPr>
          <w:t>4</w:t>
        </w:r>
      </w:hyperlink>
    </w:p>
    <w:p w:rsidR="00030F42" w:rsidRDefault="00FA78CE" w:rsidP="007D25D7">
      <w:pPr>
        <w:pStyle w:val="TOC1"/>
        <w:ind w:left="567" w:hanging="567"/>
        <w:rPr>
          <w:noProof/>
        </w:rPr>
      </w:pPr>
      <w:hyperlink w:anchor="_Toc328130126" w:history="1">
        <w:r w:rsidR="00030F42" w:rsidRPr="00DA1752">
          <w:rPr>
            <w:rStyle w:val="Hyperlink"/>
            <w:noProof/>
          </w:rPr>
          <w:t>3</w:t>
        </w:r>
        <w:r w:rsidR="00030F42">
          <w:rPr>
            <w:rFonts w:ascii="Calibri" w:hAnsi="Calibri" w:cs="Times New Roman"/>
            <w:b w:val="0"/>
            <w:bCs w:val="0"/>
            <w:caps w:val="0"/>
            <w:noProof/>
            <w:sz w:val="22"/>
            <w:szCs w:val="22"/>
            <w:lang w:eastAsia="en-AU"/>
          </w:rPr>
          <w:tab/>
        </w:r>
        <w:r w:rsidR="00483FFF">
          <w:rPr>
            <w:rStyle w:val="Hyperlink"/>
            <w:noProof/>
          </w:rPr>
          <w:t>THE FEDERAL CIRCUIT COURT OF AUSTRALIA DEATH AND INVALIDITY SCHEME</w:t>
        </w:r>
        <w:r w:rsidR="00030F42">
          <w:rPr>
            <w:noProof/>
            <w:webHidden/>
          </w:rPr>
          <w:tab/>
        </w:r>
      </w:hyperlink>
      <w:hyperlink w:anchor="_Toc328130128" w:history="1">
        <w:r w:rsidR="007D25D7">
          <w:rPr>
            <w:rStyle w:val="Hyperlink"/>
            <w:noProof/>
          </w:rPr>
          <w:t>6</w:t>
        </w:r>
      </w:hyperlink>
    </w:p>
    <w:p w:rsidR="007D25D7" w:rsidRDefault="007D25D7" w:rsidP="007D25D7">
      <w:pPr>
        <w:pStyle w:val="TOC1"/>
        <w:ind w:left="567" w:hanging="567"/>
      </w:pPr>
      <w:r>
        <w:t>4</w:t>
      </w:r>
      <w:r>
        <w:tab/>
        <w:t>MEMBERSHIP AND DATA</w:t>
      </w:r>
      <w:r>
        <w:tab/>
        <w:t>7</w:t>
      </w:r>
    </w:p>
    <w:p w:rsidR="007D25D7" w:rsidRPr="007D25D7" w:rsidRDefault="007D25D7" w:rsidP="007D25D7">
      <w:pPr>
        <w:pStyle w:val="TOC1"/>
        <w:ind w:left="567" w:hanging="567"/>
      </w:pPr>
      <w:r>
        <w:t>5</w:t>
      </w:r>
      <w:r>
        <w:tab/>
        <w:t>ASSUMPTIONS</w:t>
      </w:r>
      <w:r>
        <w:tab/>
        <w:t>8</w:t>
      </w:r>
    </w:p>
    <w:p w:rsidR="00030F42" w:rsidRDefault="00FA78CE">
      <w:pPr>
        <w:pStyle w:val="TOC1"/>
        <w:rPr>
          <w:rFonts w:ascii="Calibri" w:hAnsi="Calibri" w:cs="Times New Roman"/>
          <w:b w:val="0"/>
          <w:bCs w:val="0"/>
          <w:caps w:val="0"/>
          <w:noProof/>
          <w:sz w:val="22"/>
          <w:szCs w:val="22"/>
          <w:lang w:eastAsia="en-AU"/>
        </w:rPr>
      </w:pPr>
      <w:hyperlink w:anchor="_Toc328130129" w:history="1">
        <w:r w:rsidR="00030F42" w:rsidRPr="00DA1752">
          <w:rPr>
            <w:rStyle w:val="Hyperlink"/>
            <w:noProof/>
          </w:rPr>
          <w:t>6</w:t>
        </w:r>
        <w:r w:rsidR="00030F42">
          <w:rPr>
            <w:rFonts w:ascii="Calibri" w:hAnsi="Calibri" w:cs="Times New Roman"/>
            <w:b w:val="0"/>
            <w:bCs w:val="0"/>
            <w:caps w:val="0"/>
            <w:noProof/>
            <w:sz w:val="22"/>
            <w:szCs w:val="22"/>
            <w:lang w:eastAsia="en-AU"/>
          </w:rPr>
          <w:tab/>
        </w:r>
        <w:r w:rsidR="00030F42" w:rsidRPr="00DA1752">
          <w:rPr>
            <w:rStyle w:val="Hyperlink"/>
            <w:noProof/>
          </w:rPr>
          <w:t>PROJECTION OF PREMIUM COSTS</w:t>
        </w:r>
        <w:r w:rsidR="00030F42">
          <w:rPr>
            <w:noProof/>
            <w:webHidden/>
          </w:rPr>
          <w:tab/>
        </w:r>
        <w:r w:rsidR="007D25D7">
          <w:rPr>
            <w:noProof/>
            <w:webHidden/>
          </w:rPr>
          <w:t>11</w:t>
        </w:r>
      </w:hyperlink>
    </w:p>
    <w:p w:rsidR="00030F42" w:rsidRDefault="00FA78CE">
      <w:pPr>
        <w:pStyle w:val="TOC1"/>
        <w:rPr>
          <w:rFonts w:ascii="Calibri" w:hAnsi="Calibri" w:cs="Times New Roman"/>
          <w:b w:val="0"/>
          <w:bCs w:val="0"/>
          <w:caps w:val="0"/>
          <w:noProof/>
          <w:sz w:val="22"/>
          <w:szCs w:val="22"/>
          <w:lang w:eastAsia="en-AU"/>
        </w:rPr>
      </w:pPr>
      <w:hyperlink w:anchor="_Toc328130130" w:history="1">
        <w:r w:rsidR="00030F42" w:rsidRPr="00DA1752">
          <w:rPr>
            <w:rStyle w:val="Hyperlink"/>
            <w:noProof/>
          </w:rPr>
          <w:t>7</w:t>
        </w:r>
        <w:r w:rsidR="00030F42">
          <w:rPr>
            <w:rFonts w:ascii="Calibri" w:hAnsi="Calibri" w:cs="Times New Roman"/>
            <w:b w:val="0"/>
            <w:bCs w:val="0"/>
            <w:caps w:val="0"/>
            <w:noProof/>
            <w:sz w:val="22"/>
            <w:szCs w:val="22"/>
            <w:lang w:eastAsia="en-AU"/>
          </w:rPr>
          <w:tab/>
        </w:r>
        <w:r w:rsidR="00030F42" w:rsidRPr="00DA1752">
          <w:rPr>
            <w:rStyle w:val="Hyperlink"/>
            <w:noProof/>
          </w:rPr>
          <w:t>PROJECTION OF CASHFLOWS</w:t>
        </w:r>
        <w:r w:rsidR="00030F42">
          <w:rPr>
            <w:noProof/>
            <w:webHidden/>
          </w:rPr>
          <w:tab/>
        </w:r>
      </w:hyperlink>
      <w:r w:rsidR="007D25D7">
        <w:rPr>
          <w:noProof/>
        </w:rPr>
        <w:t>12</w:t>
      </w:r>
    </w:p>
    <w:p w:rsidR="00030F42" w:rsidRDefault="00FA78CE">
      <w:pPr>
        <w:pStyle w:val="TOC1"/>
        <w:rPr>
          <w:rFonts w:ascii="Calibri" w:hAnsi="Calibri" w:cs="Times New Roman"/>
          <w:b w:val="0"/>
          <w:bCs w:val="0"/>
          <w:caps w:val="0"/>
          <w:noProof/>
          <w:sz w:val="22"/>
          <w:szCs w:val="22"/>
          <w:lang w:eastAsia="en-AU"/>
        </w:rPr>
      </w:pPr>
      <w:hyperlink w:anchor="_Toc328130131" w:history="1">
        <w:r w:rsidR="00030F42" w:rsidRPr="00DA1752">
          <w:rPr>
            <w:rStyle w:val="Hyperlink"/>
            <w:noProof/>
          </w:rPr>
          <w:t>8</w:t>
        </w:r>
        <w:r w:rsidR="00030F42">
          <w:rPr>
            <w:rFonts w:ascii="Calibri" w:hAnsi="Calibri" w:cs="Times New Roman"/>
            <w:b w:val="0"/>
            <w:bCs w:val="0"/>
            <w:caps w:val="0"/>
            <w:noProof/>
            <w:sz w:val="22"/>
            <w:szCs w:val="22"/>
            <w:lang w:eastAsia="en-AU"/>
          </w:rPr>
          <w:tab/>
        </w:r>
        <w:r w:rsidR="00030F42" w:rsidRPr="00DA1752">
          <w:rPr>
            <w:rStyle w:val="Hyperlink"/>
            <w:noProof/>
          </w:rPr>
          <w:t>ACCRUED LIABILITY</w:t>
        </w:r>
        <w:r w:rsidR="00030F42">
          <w:rPr>
            <w:noProof/>
            <w:webHidden/>
          </w:rPr>
          <w:tab/>
        </w:r>
        <w:r w:rsidR="007D25D7">
          <w:rPr>
            <w:noProof/>
            <w:webHidden/>
          </w:rPr>
          <w:t>14</w:t>
        </w:r>
      </w:hyperlink>
    </w:p>
    <w:p w:rsidR="00030F42" w:rsidRDefault="00FA78CE">
      <w:pPr>
        <w:pStyle w:val="TOC1"/>
      </w:pPr>
      <w:hyperlink w:anchor="_Toc328130132" w:history="1">
        <w:r w:rsidR="00030F42" w:rsidRPr="00DA1752">
          <w:rPr>
            <w:rStyle w:val="Hyperlink"/>
            <w:noProof/>
          </w:rPr>
          <w:t>9</w:t>
        </w:r>
        <w:r w:rsidR="00030F42">
          <w:rPr>
            <w:rFonts w:ascii="Calibri" w:hAnsi="Calibri" w:cs="Times New Roman"/>
            <w:b w:val="0"/>
            <w:bCs w:val="0"/>
            <w:caps w:val="0"/>
            <w:noProof/>
            <w:sz w:val="22"/>
            <w:szCs w:val="22"/>
            <w:lang w:eastAsia="en-AU"/>
          </w:rPr>
          <w:tab/>
        </w:r>
        <w:r w:rsidR="00030F42" w:rsidRPr="00DA1752">
          <w:rPr>
            <w:rStyle w:val="Hyperlink"/>
            <w:noProof/>
          </w:rPr>
          <w:t>SENSITIVITY ANALYSIS</w:t>
        </w:r>
        <w:r w:rsidR="00030F42">
          <w:rPr>
            <w:noProof/>
            <w:webHidden/>
          </w:rPr>
          <w:tab/>
        </w:r>
        <w:r w:rsidR="007D25D7">
          <w:rPr>
            <w:noProof/>
            <w:webHidden/>
          </w:rPr>
          <w:t>15</w:t>
        </w:r>
      </w:hyperlink>
    </w:p>
    <w:p w:rsidR="00411842" w:rsidRDefault="00FA78CE" w:rsidP="00411842">
      <w:pPr>
        <w:pStyle w:val="TOC1"/>
      </w:pPr>
      <w:hyperlink w:anchor="_Toc328130132" w:history="1">
        <w:r w:rsidR="00411842">
          <w:rPr>
            <w:rStyle w:val="Hyperlink"/>
            <w:noProof/>
          </w:rPr>
          <w:t>appendix a – detailed acuarial assumptions</w:t>
        </w:r>
        <w:r w:rsidR="00411842">
          <w:rPr>
            <w:noProof/>
            <w:webHidden/>
          </w:rPr>
          <w:tab/>
        </w:r>
        <w:r w:rsidR="007D25D7">
          <w:rPr>
            <w:noProof/>
            <w:webHidden/>
          </w:rPr>
          <w:t>17</w:t>
        </w:r>
      </w:hyperlink>
    </w:p>
    <w:p w:rsidR="007D7583" w:rsidRDefault="00620F57">
      <w:r>
        <w:rPr>
          <w:rFonts w:cs="Arial"/>
          <w:sz w:val="24"/>
          <w:szCs w:val="24"/>
        </w:rPr>
        <w:fldChar w:fldCharType="end"/>
      </w:r>
    </w:p>
    <w:p w:rsidR="005D3941" w:rsidRDefault="005D3941"/>
    <w:p w:rsidR="005D3941" w:rsidRDefault="005D3941" w:rsidP="00257130">
      <w:pPr>
        <w:pStyle w:val="Heading1"/>
        <w:sectPr w:rsidR="005D3941" w:rsidSect="00E03BD5">
          <w:headerReference w:type="first" r:id="rId13"/>
          <w:footerReference w:type="first" r:id="rId14"/>
          <w:pgSz w:w="11906" w:h="16838"/>
          <w:pgMar w:top="1440" w:right="1797" w:bottom="1440" w:left="1797" w:header="709" w:footer="709" w:gutter="0"/>
          <w:cols w:space="708"/>
          <w:titlePg/>
          <w:docGrid w:linePitch="360"/>
        </w:sectPr>
      </w:pPr>
    </w:p>
    <w:p w:rsidR="00FD509D" w:rsidRDefault="00FD509D" w:rsidP="009612B8">
      <w:pPr>
        <w:pStyle w:val="Heading2"/>
      </w:pPr>
      <w:bookmarkStart w:id="3" w:name="_Toc229370567"/>
      <w:bookmarkStart w:id="4" w:name="_Toc328130124"/>
      <w:r w:rsidRPr="009612B8">
        <w:lastRenderedPageBreak/>
        <w:t>SUMMARY</w:t>
      </w:r>
      <w:bookmarkEnd w:id="3"/>
      <w:bookmarkEnd w:id="4"/>
    </w:p>
    <w:p w:rsidR="00FD509D" w:rsidRPr="00483FFF" w:rsidRDefault="00FD509D" w:rsidP="008E1CE7">
      <w:pPr>
        <w:pStyle w:val="BodyText"/>
        <w:numPr>
          <w:ilvl w:val="0"/>
          <w:numId w:val="0"/>
        </w:numPr>
        <w:spacing w:before="0" w:after="360"/>
      </w:pPr>
      <w:r w:rsidRPr="00BB13A8">
        <w:t xml:space="preserve">This report sets out estimates, as at </w:t>
      </w:r>
      <w:r>
        <w:t>30 June 20</w:t>
      </w:r>
      <w:r w:rsidR="00483FFF">
        <w:t>14</w:t>
      </w:r>
      <w:r w:rsidRPr="00BB13A8">
        <w:t>, of the long</w:t>
      </w:r>
      <w:r>
        <w:t xml:space="preserve"> </w:t>
      </w:r>
      <w:r w:rsidRPr="00BB13A8">
        <w:t xml:space="preserve">term costs arising under </w:t>
      </w:r>
      <w:r w:rsidR="00483FFF">
        <w:t>the Federal Circuit Court of Australia Death and Invalidity Scheme</w:t>
      </w:r>
      <w:r w:rsidR="00A270EF">
        <w:t>, which is governed by the</w:t>
      </w:r>
      <w:r w:rsidRPr="00BB13A8">
        <w:t xml:space="preserve"> </w:t>
      </w:r>
      <w:r w:rsidR="00A270EF" w:rsidRPr="00A270EF">
        <w:rPr>
          <w:i/>
        </w:rPr>
        <w:t xml:space="preserve">Federal </w:t>
      </w:r>
      <w:r w:rsidR="00483FFF">
        <w:rPr>
          <w:i/>
        </w:rPr>
        <w:t>Circuit Court of Australia</w:t>
      </w:r>
      <w:r w:rsidR="00A270EF" w:rsidRPr="00A270EF">
        <w:rPr>
          <w:i/>
        </w:rPr>
        <w:t xml:space="preserve"> Act 1999</w:t>
      </w:r>
      <w:r w:rsidRPr="00BB13A8">
        <w:rPr>
          <w:i/>
        </w:rPr>
        <w:t xml:space="preserve"> </w:t>
      </w:r>
      <w:r w:rsidRPr="00BB13A8">
        <w:t>(the Act).</w:t>
      </w:r>
      <w:r w:rsidR="00573BA7">
        <w:t xml:space="preserve">  </w:t>
      </w:r>
      <w:r w:rsidR="00483FFF">
        <w:t xml:space="preserve">The </w:t>
      </w:r>
      <w:r w:rsidR="00483FFF">
        <w:rPr>
          <w:i/>
        </w:rPr>
        <w:t xml:space="preserve">Federal Circuit Court of Australia Act 1999 </w:t>
      </w:r>
      <w:r w:rsidR="00483FFF">
        <w:t xml:space="preserve">(formerly titled the </w:t>
      </w:r>
      <w:r w:rsidR="00483FFF">
        <w:rPr>
          <w:i/>
        </w:rPr>
        <w:t>Federal magistrates Act 1999</w:t>
      </w:r>
      <w:r w:rsidR="00483FFF">
        <w:t>) was altered so as to allow for the provision of lump sum death and invalidity pensions to then Federal Magistrates (now Federal Circuit Court of Australia Judges) with effect from September 2007. For the purposes of this report, we have called these arrangements the ‘Federal Circuit Court of Australia Death and Invalidity Schemes’. This is the second report on the long-term costs of the Scheme.</w:t>
      </w:r>
    </w:p>
    <w:p w:rsidR="00FD509D" w:rsidRPr="00483D92" w:rsidRDefault="00FD509D" w:rsidP="008E1CE7">
      <w:pPr>
        <w:tabs>
          <w:tab w:val="left" w:pos="-1440"/>
          <w:tab w:val="left" w:pos="-720"/>
          <w:tab w:val="left" w:pos="0"/>
          <w:tab w:val="left" w:pos="720"/>
          <w:tab w:val="left" w:pos="1110"/>
          <w:tab w:val="left" w:pos="2552"/>
        </w:tabs>
        <w:suppressAutoHyphens/>
        <w:spacing w:before="240"/>
        <w:rPr>
          <w:i/>
          <w:spacing w:val="-3"/>
        </w:rPr>
      </w:pPr>
      <w:r w:rsidRPr="00483D92">
        <w:rPr>
          <w:i/>
          <w:spacing w:val="-3"/>
        </w:rPr>
        <w:t xml:space="preserve">Experience </w:t>
      </w:r>
      <w:r w:rsidR="00573BA7" w:rsidRPr="00483D92">
        <w:rPr>
          <w:i/>
          <w:spacing w:val="-3"/>
        </w:rPr>
        <w:t>and Assumptions</w:t>
      </w:r>
    </w:p>
    <w:p w:rsidR="008E1CE7" w:rsidRDefault="005F07B9" w:rsidP="008E1CE7">
      <w:pPr>
        <w:pStyle w:val="SinglePara"/>
        <w:spacing w:after="360"/>
        <w:rPr>
          <w:rFonts w:cs="Arial"/>
        </w:rPr>
      </w:pPr>
      <w:r>
        <w:rPr>
          <w:rFonts w:cs="Arial"/>
        </w:rPr>
        <w:t xml:space="preserve">Membership of </w:t>
      </w:r>
      <w:r w:rsidR="00483FFF">
        <w:rPr>
          <w:rFonts w:cs="Arial"/>
        </w:rPr>
        <w:t>Federal Circuit Court of Australia Death and Invalidity Scheme</w:t>
      </w:r>
      <w:r w:rsidR="00E64E0D">
        <w:rPr>
          <w:rFonts w:cs="Arial"/>
        </w:rPr>
        <w:t xml:space="preserve"> </w:t>
      </w:r>
      <w:r>
        <w:rPr>
          <w:rFonts w:cs="Arial"/>
        </w:rPr>
        <w:t xml:space="preserve">is relatively small, and as such, there is insufficient scheme experience on which to base demographic assumptions. </w:t>
      </w:r>
      <w:r w:rsidR="00A77CC0">
        <w:rPr>
          <w:rFonts w:cs="Arial"/>
        </w:rPr>
        <w:t>T</w:t>
      </w:r>
      <w:r w:rsidR="003B0618">
        <w:rPr>
          <w:rFonts w:cs="Arial"/>
        </w:rPr>
        <w:t xml:space="preserve">he </w:t>
      </w:r>
      <w:r w:rsidR="00A77CC0">
        <w:rPr>
          <w:rFonts w:cs="Arial"/>
        </w:rPr>
        <w:t xml:space="preserve">key </w:t>
      </w:r>
      <w:r w:rsidR="003B0618">
        <w:rPr>
          <w:rFonts w:cs="Arial"/>
        </w:rPr>
        <w:t xml:space="preserve">assumptions used to </w:t>
      </w:r>
      <w:r w:rsidR="009B188A">
        <w:rPr>
          <w:rFonts w:cs="Arial"/>
        </w:rPr>
        <w:t>estimate the costs of the Scheme are those used to value the Judges</w:t>
      </w:r>
      <w:r w:rsidR="00764F83">
        <w:rPr>
          <w:rFonts w:cs="Arial"/>
        </w:rPr>
        <w:t>’</w:t>
      </w:r>
      <w:r w:rsidR="009B188A">
        <w:rPr>
          <w:rFonts w:cs="Arial"/>
        </w:rPr>
        <w:t xml:space="preserve"> Pension Scheme, as</w:t>
      </w:r>
      <w:r w:rsidR="00A42A9E">
        <w:rPr>
          <w:rFonts w:cs="Arial"/>
        </w:rPr>
        <w:t xml:space="preserve"> </w:t>
      </w:r>
      <w:r w:rsidR="003B0618">
        <w:rPr>
          <w:rFonts w:cs="Arial"/>
        </w:rPr>
        <w:t xml:space="preserve">the experience of Federal </w:t>
      </w:r>
      <w:r>
        <w:rPr>
          <w:rFonts w:cs="Arial"/>
        </w:rPr>
        <w:t xml:space="preserve">Circuit Court of Australia Judges </w:t>
      </w:r>
      <w:r w:rsidR="003B0618">
        <w:rPr>
          <w:rFonts w:cs="Arial"/>
        </w:rPr>
        <w:t xml:space="preserve">is likely to be </w:t>
      </w:r>
      <w:r w:rsidR="00A77CC0">
        <w:rPr>
          <w:rFonts w:cs="Arial"/>
        </w:rPr>
        <w:t xml:space="preserve">somewhat </w:t>
      </w:r>
      <w:r w:rsidR="003B0618">
        <w:rPr>
          <w:rFonts w:cs="Arial"/>
        </w:rPr>
        <w:t>similar to that of members of the Judges</w:t>
      </w:r>
      <w:r w:rsidR="00764F83">
        <w:rPr>
          <w:rFonts w:cs="Arial"/>
        </w:rPr>
        <w:t>’</w:t>
      </w:r>
      <w:r w:rsidR="003B0618">
        <w:rPr>
          <w:rFonts w:cs="Arial"/>
        </w:rPr>
        <w:t xml:space="preserve"> Pension Scheme. </w:t>
      </w:r>
      <w:r>
        <w:rPr>
          <w:rFonts w:cs="Arial"/>
        </w:rPr>
        <w:t>However, as the report notes, there is considerable uncertainty around likely scheme experience and actual cost may well be significantly different from those derived using the same assumptions as for the Judges’ Pension Scheme.</w:t>
      </w:r>
    </w:p>
    <w:p w:rsidR="00A270EF" w:rsidRPr="008E1CE7" w:rsidRDefault="00A270EF" w:rsidP="008E1CE7">
      <w:pPr>
        <w:pStyle w:val="SinglePara"/>
        <w:spacing w:before="160" w:after="160"/>
        <w:rPr>
          <w:rFonts w:cs="Arial"/>
        </w:rPr>
      </w:pPr>
      <w:r w:rsidRPr="008E1CE7">
        <w:rPr>
          <w:i/>
          <w:spacing w:val="-3"/>
        </w:rPr>
        <w:t>Future premium costs and cash expenditure</w:t>
      </w:r>
    </w:p>
    <w:p w:rsidR="009A5A6B" w:rsidRDefault="009A5A6B" w:rsidP="00483D92">
      <w:pPr>
        <w:pStyle w:val="BodyText"/>
        <w:numPr>
          <w:ilvl w:val="0"/>
          <w:numId w:val="0"/>
        </w:numPr>
        <w:rPr>
          <w:rFonts w:cs="Arial"/>
        </w:rPr>
      </w:pPr>
      <w:r>
        <w:rPr>
          <w:rFonts w:cs="Arial"/>
        </w:rPr>
        <w:t>Projections of premium costs and cash exp</w:t>
      </w:r>
      <w:r w:rsidR="008B4C7C">
        <w:rPr>
          <w:rFonts w:cs="Arial"/>
        </w:rPr>
        <w:t>enditure over the period to 2034-35</w:t>
      </w:r>
      <w:r>
        <w:rPr>
          <w:rFonts w:cs="Arial"/>
        </w:rPr>
        <w:t xml:space="preserve"> have been made.</w:t>
      </w:r>
    </w:p>
    <w:p w:rsidR="00483D92" w:rsidRDefault="009A5A6B" w:rsidP="00483D92">
      <w:pPr>
        <w:pStyle w:val="BodyText"/>
        <w:numPr>
          <w:ilvl w:val="0"/>
          <w:numId w:val="0"/>
        </w:numPr>
        <w:rPr>
          <w:rFonts w:cs="Arial"/>
        </w:rPr>
      </w:pPr>
      <w:r>
        <w:rPr>
          <w:rFonts w:cs="Arial"/>
        </w:rPr>
        <w:t>F</w:t>
      </w:r>
      <w:r w:rsidR="00483D92">
        <w:rPr>
          <w:rFonts w:cs="Arial"/>
        </w:rPr>
        <w:t xml:space="preserve">uture </w:t>
      </w:r>
      <w:r w:rsidR="00483D92" w:rsidRPr="00483D92">
        <w:rPr>
          <w:rFonts w:cs="Arial"/>
        </w:rPr>
        <w:t>premium costs are the estimated future notional insurance premiums required to insure against the expected benefit payments arising from death and invalidity claims in each future projection year.</w:t>
      </w:r>
      <w:r w:rsidR="00483D92">
        <w:rPr>
          <w:rFonts w:cs="Arial"/>
        </w:rPr>
        <w:t xml:space="preserve">  </w:t>
      </w:r>
      <w:r>
        <w:rPr>
          <w:rFonts w:cs="Arial"/>
        </w:rPr>
        <w:t xml:space="preserve">Premium costs are projected to </w:t>
      </w:r>
      <w:r w:rsidR="008B4C7C">
        <w:rPr>
          <w:rFonts w:cs="Arial"/>
        </w:rPr>
        <w:t xml:space="preserve">be 2.6 per cent </w:t>
      </w:r>
      <w:r w:rsidR="0027710B">
        <w:rPr>
          <w:rFonts w:cs="Arial"/>
        </w:rPr>
        <w:t xml:space="preserve">of salaries </w:t>
      </w:r>
      <w:r w:rsidR="008B4C7C">
        <w:rPr>
          <w:rFonts w:cs="Arial"/>
        </w:rPr>
        <w:t>over the projection period.</w:t>
      </w:r>
    </w:p>
    <w:p w:rsidR="008E1CE7" w:rsidRDefault="00483D92" w:rsidP="008E1CE7">
      <w:pPr>
        <w:pStyle w:val="BodyText"/>
        <w:numPr>
          <w:ilvl w:val="0"/>
          <w:numId w:val="0"/>
        </w:numPr>
        <w:spacing w:after="360"/>
        <w:rPr>
          <w:rFonts w:cs="Arial"/>
        </w:rPr>
      </w:pPr>
      <w:r w:rsidRPr="00483D92">
        <w:rPr>
          <w:rFonts w:cs="Arial"/>
        </w:rPr>
        <w:t>Future cash expenditure is the estimated expected amount of cash payable in each future projection year.</w:t>
      </w:r>
      <w:r w:rsidR="008E1CE7">
        <w:rPr>
          <w:rFonts w:cs="Arial"/>
        </w:rPr>
        <w:t xml:space="preserve">  </w:t>
      </w:r>
      <w:r w:rsidR="00851AB1">
        <w:rPr>
          <w:rFonts w:cs="Arial"/>
        </w:rPr>
        <w:t>C</w:t>
      </w:r>
      <w:r w:rsidR="00733984">
        <w:rPr>
          <w:rFonts w:cs="Arial"/>
        </w:rPr>
        <w:t xml:space="preserve">ash </w:t>
      </w:r>
      <w:r w:rsidR="00851AB1">
        <w:rPr>
          <w:rFonts w:cs="Arial"/>
        </w:rPr>
        <w:t xml:space="preserve">expenditure </w:t>
      </w:r>
      <w:r w:rsidR="00764F83">
        <w:rPr>
          <w:rFonts w:cs="Arial"/>
        </w:rPr>
        <w:t xml:space="preserve">in nominal dollars </w:t>
      </w:r>
      <w:r w:rsidR="00851AB1">
        <w:rPr>
          <w:rFonts w:cs="Arial"/>
        </w:rPr>
        <w:t>i</w:t>
      </w:r>
      <w:r w:rsidR="008B4C7C">
        <w:rPr>
          <w:rFonts w:cs="Arial"/>
        </w:rPr>
        <w:t>s projected to increase from $329,000 in 2014-15 to just under $1.4 million in 2034-35</w:t>
      </w:r>
      <w:r w:rsidR="00851AB1">
        <w:rPr>
          <w:rFonts w:cs="Arial"/>
        </w:rPr>
        <w:t>.</w:t>
      </w:r>
      <w:r w:rsidRPr="00483D92">
        <w:rPr>
          <w:rFonts w:cs="Arial"/>
        </w:rPr>
        <w:t xml:space="preserve"> </w:t>
      </w:r>
      <w:r w:rsidR="00A9326A">
        <w:rPr>
          <w:rFonts w:cs="Arial"/>
        </w:rPr>
        <w:t xml:space="preserve"> It should be noted, however, that cash expenditures for a small scheme providing only insurance benefits are highly uncertain.</w:t>
      </w:r>
    </w:p>
    <w:p w:rsidR="00620442" w:rsidRPr="008E1CE7" w:rsidRDefault="00A270EF" w:rsidP="008E1CE7">
      <w:pPr>
        <w:pStyle w:val="BodyText"/>
        <w:numPr>
          <w:ilvl w:val="0"/>
          <w:numId w:val="0"/>
        </w:numPr>
        <w:spacing w:before="240"/>
      </w:pPr>
      <w:r w:rsidRPr="00620442">
        <w:rPr>
          <w:i/>
          <w:spacing w:val="-3"/>
        </w:rPr>
        <w:t>Accrued liabilities</w:t>
      </w:r>
    </w:p>
    <w:p w:rsidR="00FD509D" w:rsidRDefault="00620442" w:rsidP="007C1690">
      <w:pPr>
        <w:tabs>
          <w:tab w:val="left" w:pos="-1440"/>
          <w:tab w:val="left" w:pos="-720"/>
          <w:tab w:val="left" w:pos="0"/>
          <w:tab w:val="left" w:pos="720"/>
          <w:tab w:val="left" w:pos="1110"/>
          <w:tab w:val="left" w:pos="2552"/>
        </w:tabs>
        <w:suppressAutoHyphens/>
        <w:rPr>
          <w:spacing w:val="-3"/>
        </w:rPr>
      </w:pPr>
      <w:r w:rsidRPr="00620442">
        <w:rPr>
          <w:spacing w:val="-3"/>
        </w:rPr>
        <w:t xml:space="preserve">The direct Commonwealth unfunded liability arising under the Scheme in respect of the </w:t>
      </w:r>
      <w:r w:rsidR="0014225C">
        <w:rPr>
          <w:spacing w:val="-3"/>
        </w:rPr>
        <w:t xml:space="preserve">one </w:t>
      </w:r>
      <w:r w:rsidRPr="00620442">
        <w:rPr>
          <w:spacing w:val="-3"/>
        </w:rPr>
        <w:t>current pension</w:t>
      </w:r>
      <w:r w:rsidR="0014225C">
        <w:rPr>
          <w:spacing w:val="-3"/>
        </w:rPr>
        <w:t>er has been calculated as $1.402</w:t>
      </w:r>
      <w:r w:rsidRPr="00620442">
        <w:rPr>
          <w:spacing w:val="-3"/>
        </w:rPr>
        <w:t xml:space="preserve"> million.</w:t>
      </w:r>
    </w:p>
    <w:p w:rsidR="00E64E0D" w:rsidRPr="00620442" w:rsidRDefault="00E64E0D" w:rsidP="00E64E0D">
      <w:pPr>
        <w:spacing w:before="0" w:after="0" w:line="240" w:lineRule="auto"/>
        <w:jc w:val="left"/>
        <w:rPr>
          <w:spacing w:val="-3"/>
        </w:rPr>
      </w:pPr>
      <w:r>
        <w:rPr>
          <w:spacing w:val="-3"/>
        </w:rPr>
        <w:br w:type="page"/>
      </w:r>
    </w:p>
    <w:p w:rsidR="00FD509D" w:rsidRDefault="00FD509D" w:rsidP="009612B8">
      <w:pPr>
        <w:pStyle w:val="Heading2"/>
      </w:pPr>
      <w:bookmarkStart w:id="5" w:name="_Toc229370568"/>
      <w:bookmarkStart w:id="6" w:name="_Toc328130125"/>
      <w:r w:rsidRPr="009612B8">
        <w:t>INTRODUCTION</w:t>
      </w:r>
      <w:bookmarkEnd w:id="5"/>
      <w:bookmarkEnd w:id="6"/>
    </w:p>
    <w:p w:rsidR="00FD509D" w:rsidRDefault="00FD509D" w:rsidP="00FD509D">
      <w:pPr>
        <w:pStyle w:val="BodyText"/>
      </w:pPr>
      <w:r w:rsidRPr="00BB13A8">
        <w:t xml:space="preserve">This report has been prepared within the Office of the Australian Government Actuary at the request of </w:t>
      </w:r>
      <w:r w:rsidR="00663406">
        <w:t>the D</w:t>
      </w:r>
      <w:r w:rsidRPr="00BB13A8">
        <w:t>epartment</w:t>
      </w:r>
      <w:r w:rsidR="00663406" w:rsidRPr="00663406">
        <w:t xml:space="preserve"> </w:t>
      </w:r>
      <w:r w:rsidR="00663406">
        <w:t xml:space="preserve">of Finance </w:t>
      </w:r>
      <w:r w:rsidR="00E94E12">
        <w:t>(Finance)</w:t>
      </w:r>
      <w:r w:rsidRPr="00BB13A8">
        <w:t xml:space="preserve">.  It sets out estimates of the long-term </w:t>
      </w:r>
      <w:r w:rsidR="00475627">
        <w:t xml:space="preserve">death and invalidity </w:t>
      </w:r>
      <w:r w:rsidR="00A270EF">
        <w:t xml:space="preserve">costs </w:t>
      </w:r>
      <w:r w:rsidRPr="00BB13A8">
        <w:t xml:space="preserve">arising under </w:t>
      </w:r>
      <w:r w:rsidR="00A270EF">
        <w:t xml:space="preserve">the </w:t>
      </w:r>
      <w:r w:rsidR="00A270EF" w:rsidRPr="00A270EF">
        <w:rPr>
          <w:i/>
        </w:rPr>
        <w:t xml:space="preserve">Federal </w:t>
      </w:r>
      <w:r w:rsidR="0014225C">
        <w:rPr>
          <w:i/>
        </w:rPr>
        <w:t>Circuit Court of Australia</w:t>
      </w:r>
      <w:r w:rsidR="00A270EF" w:rsidRPr="00A270EF">
        <w:rPr>
          <w:i/>
        </w:rPr>
        <w:t xml:space="preserve"> Act 1999</w:t>
      </w:r>
      <w:r w:rsidR="00A270EF" w:rsidRPr="00BB13A8">
        <w:rPr>
          <w:i/>
        </w:rPr>
        <w:t xml:space="preserve"> </w:t>
      </w:r>
      <w:r w:rsidR="00A270EF">
        <w:t>(the Act)</w:t>
      </w:r>
      <w:r w:rsidRPr="00BB13A8">
        <w:t xml:space="preserve">.  </w:t>
      </w:r>
      <w:r w:rsidR="00475627">
        <w:t xml:space="preserve">The </w:t>
      </w:r>
      <w:r w:rsidR="00475627" w:rsidRPr="00A270EF">
        <w:rPr>
          <w:i/>
        </w:rPr>
        <w:t xml:space="preserve">Federal </w:t>
      </w:r>
      <w:r w:rsidR="0051271E">
        <w:rPr>
          <w:i/>
        </w:rPr>
        <w:t>Circuit Court of Australia</w:t>
      </w:r>
      <w:r w:rsidR="00475627" w:rsidRPr="00A270EF">
        <w:rPr>
          <w:i/>
        </w:rPr>
        <w:t xml:space="preserve"> Act 1999</w:t>
      </w:r>
      <w:r w:rsidR="00475627" w:rsidRPr="00BB13A8">
        <w:rPr>
          <w:i/>
        </w:rPr>
        <w:t xml:space="preserve"> </w:t>
      </w:r>
      <w:r w:rsidR="00B31194">
        <w:t xml:space="preserve">was altered so as to allow for the provision of lump sum death benefits and invalidity pensions to </w:t>
      </w:r>
      <w:r w:rsidR="0051271E">
        <w:t>Federal Circuit Court of Australia Judges</w:t>
      </w:r>
      <w:r w:rsidR="00B31194">
        <w:t xml:space="preserve"> with effect from September 2007.  </w:t>
      </w:r>
      <w:r w:rsidR="007C1690">
        <w:t>For the purposes of this report, we h</w:t>
      </w:r>
      <w:r w:rsidR="006C118A">
        <w:t>ave termed these arrangements</w:t>
      </w:r>
      <w:r w:rsidR="007C1690">
        <w:t xml:space="preserve"> </w:t>
      </w:r>
      <w:r w:rsidR="00483FFF">
        <w:t>the Federal Circuit Court of Australia Death and Invalidity Scheme</w:t>
      </w:r>
      <w:r w:rsidR="009411AD">
        <w:t xml:space="preserve"> (the Scheme)</w:t>
      </w:r>
      <w:r w:rsidR="007C1690">
        <w:t>.</w:t>
      </w:r>
      <w:r w:rsidR="00B31194">
        <w:t xml:space="preserve">  </w:t>
      </w:r>
      <w:r w:rsidRPr="00BB13A8">
        <w:t>The estimates are based on an examination of scheme data supplied by the Department</w:t>
      </w:r>
      <w:r w:rsidR="00663406" w:rsidRPr="00663406">
        <w:t xml:space="preserve"> </w:t>
      </w:r>
      <w:r w:rsidR="00663406">
        <w:t xml:space="preserve">of Finance </w:t>
      </w:r>
      <w:r w:rsidR="0051271E">
        <w:t>which in turn included</w:t>
      </w:r>
      <w:r w:rsidRPr="00BB13A8">
        <w:t xml:space="preserve"> data </w:t>
      </w:r>
      <w:r w:rsidR="0051271E">
        <w:t xml:space="preserve">from </w:t>
      </w:r>
      <w:r w:rsidR="00B31194">
        <w:t xml:space="preserve">the </w:t>
      </w:r>
      <w:r w:rsidR="008821C6">
        <w:t>Family Court</w:t>
      </w:r>
      <w:r w:rsidR="0051271E">
        <w:t xml:space="preserve"> and Federal Circuit Court of Australia</w:t>
      </w:r>
      <w:r w:rsidRPr="00BB13A8">
        <w:t xml:space="preserve">. </w:t>
      </w:r>
      <w:r>
        <w:t xml:space="preserve"> </w:t>
      </w:r>
    </w:p>
    <w:p w:rsidR="0092623A" w:rsidRDefault="0048473E" w:rsidP="00FD509D">
      <w:pPr>
        <w:pStyle w:val="BodyText"/>
      </w:pPr>
      <w:r>
        <w:t xml:space="preserve">This is the </w:t>
      </w:r>
      <w:r w:rsidR="00B62D9C">
        <w:t>second</w:t>
      </w:r>
      <w:r>
        <w:t xml:space="preserve"> long-term valuation of </w:t>
      </w:r>
      <w:r w:rsidR="00483FFF">
        <w:t>the Federal Circuit Court of Australia Death and Invalidity Scheme</w:t>
      </w:r>
      <w:r w:rsidR="00336FAC">
        <w:t xml:space="preserve"> since its inception </w:t>
      </w:r>
      <w:r w:rsidR="004B2207">
        <w:t>in 2007.</w:t>
      </w:r>
      <w:r w:rsidR="0092623A">
        <w:t xml:space="preserve">  Initial calculations for the Attorney-General’s Department suggested that the cost of the Scheme would be </w:t>
      </w:r>
      <w:r w:rsidR="001F42AF">
        <w:t xml:space="preserve">very uncertain, but could be around </w:t>
      </w:r>
      <w:r w:rsidR="00B62D9C">
        <w:t xml:space="preserve">6 per cent </w:t>
      </w:r>
      <w:r w:rsidR="0092623A">
        <w:t xml:space="preserve">of salaries. </w:t>
      </w:r>
      <w:r w:rsidR="004B2207">
        <w:t xml:space="preserve">  </w:t>
      </w:r>
      <w:r w:rsidR="00B62D9C">
        <w:t>The first report on the Scheme estimated a long-term cost of around 2.6 per cent of salaries.</w:t>
      </w:r>
    </w:p>
    <w:p w:rsidR="00A5174B" w:rsidRDefault="00A5174B" w:rsidP="00FD509D">
      <w:pPr>
        <w:pStyle w:val="BodyText"/>
      </w:pPr>
      <w:r>
        <w:t xml:space="preserve">This report </w:t>
      </w:r>
      <w:r w:rsidR="009411AD">
        <w:t>p</w:t>
      </w:r>
      <w:r>
        <w:t>rovide</w:t>
      </w:r>
      <w:r w:rsidR="009411AD">
        <w:t>s</w:t>
      </w:r>
      <w:r>
        <w:t xml:space="preserve"> estimates of the following:</w:t>
      </w:r>
    </w:p>
    <w:p w:rsidR="00A5174B" w:rsidRDefault="008821C6" w:rsidP="0017251B">
      <w:pPr>
        <w:pStyle w:val="Bullet"/>
        <w:tabs>
          <w:tab w:val="clear" w:pos="1418"/>
          <w:tab w:val="num" w:pos="1843"/>
        </w:tabs>
        <w:ind w:left="1701"/>
      </w:pPr>
      <w:r>
        <w:t xml:space="preserve">projected </w:t>
      </w:r>
      <w:r w:rsidR="0063454D">
        <w:t>future premium costs</w:t>
      </w:r>
      <w:r w:rsidR="0052530A">
        <w:t xml:space="preserve"> for each year to 2034-35</w:t>
      </w:r>
      <w:r w:rsidR="00A5174B">
        <w:t>;</w:t>
      </w:r>
    </w:p>
    <w:p w:rsidR="00A5174B" w:rsidRDefault="008821C6" w:rsidP="0017251B">
      <w:pPr>
        <w:pStyle w:val="Bullet"/>
        <w:tabs>
          <w:tab w:val="clear" w:pos="1418"/>
          <w:tab w:val="num" w:pos="1843"/>
        </w:tabs>
        <w:ind w:left="1701"/>
      </w:pPr>
      <w:r>
        <w:t xml:space="preserve">projected </w:t>
      </w:r>
      <w:r w:rsidR="00A5174B">
        <w:t>future cash expenditure</w:t>
      </w:r>
      <w:r w:rsidR="0052530A">
        <w:t xml:space="preserve"> for each year to 2034-35</w:t>
      </w:r>
      <w:r w:rsidR="00A5174B">
        <w:t>; and</w:t>
      </w:r>
    </w:p>
    <w:p w:rsidR="00A5174B" w:rsidRDefault="00A5174B" w:rsidP="0017251B">
      <w:pPr>
        <w:pStyle w:val="Bullet"/>
        <w:tabs>
          <w:tab w:val="clear" w:pos="1418"/>
          <w:tab w:val="num" w:pos="1843"/>
        </w:tabs>
        <w:ind w:left="1701"/>
      </w:pPr>
      <w:r>
        <w:t>accrued liability.</w:t>
      </w:r>
    </w:p>
    <w:p w:rsidR="00706CBC" w:rsidRDefault="009411AD" w:rsidP="00A5174B">
      <w:pPr>
        <w:pStyle w:val="BodyText"/>
      </w:pPr>
      <w:r>
        <w:t xml:space="preserve">The future premium costs </w:t>
      </w:r>
      <w:r w:rsidR="00A5174B" w:rsidRPr="00A5174B">
        <w:t xml:space="preserve">are </w:t>
      </w:r>
      <w:r w:rsidR="001661FE">
        <w:t xml:space="preserve">the </w:t>
      </w:r>
      <w:r w:rsidR="00A5174B" w:rsidRPr="00A5174B">
        <w:t>estimate</w:t>
      </w:r>
      <w:r w:rsidR="001661FE">
        <w:t>d</w:t>
      </w:r>
      <w:r w:rsidR="00A5174B" w:rsidRPr="00A5174B">
        <w:t xml:space="preserve"> </w:t>
      </w:r>
      <w:r w:rsidR="008821C6">
        <w:t xml:space="preserve">future notional insurance </w:t>
      </w:r>
      <w:r w:rsidR="00A5174B" w:rsidRPr="00A5174B">
        <w:t>premiums required to i</w:t>
      </w:r>
      <w:r w:rsidR="005D72DA">
        <w:t xml:space="preserve">nsure against the expected </w:t>
      </w:r>
      <w:r w:rsidR="008821C6">
        <w:t xml:space="preserve">benefit </w:t>
      </w:r>
      <w:r w:rsidR="005D72DA">
        <w:t>payments</w:t>
      </w:r>
      <w:r w:rsidR="00A5174B" w:rsidRPr="00A5174B">
        <w:t xml:space="preserve"> arising from </w:t>
      </w:r>
      <w:r w:rsidR="00F07EF8">
        <w:t>death and invalidity</w:t>
      </w:r>
      <w:r w:rsidR="004C5DE6">
        <w:t xml:space="preserve"> </w:t>
      </w:r>
      <w:r w:rsidR="008821C6">
        <w:t xml:space="preserve">claims </w:t>
      </w:r>
      <w:r w:rsidR="00F07EF8">
        <w:t>in</w:t>
      </w:r>
      <w:r w:rsidR="004C5DE6">
        <w:t xml:space="preserve"> each future </w:t>
      </w:r>
      <w:r w:rsidR="008821C6">
        <w:t xml:space="preserve">projection </w:t>
      </w:r>
      <w:r w:rsidR="004C5DE6">
        <w:t xml:space="preserve">year. </w:t>
      </w:r>
      <w:r w:rsidR="00F07EF8">
        <w:t xml:space="preserve">Future cash expenditure is the estimated </w:t>
      </w:r>
      <w:r w:rsidR="000F63AA">
        <w:t xml:space="preserve">expected </w:t>
      </w:r>
      <w:r w:rsidR="00F07EF8">
        <w:t xml:space="preserve">amount of cash </w:t>
      </w:r>
      <w:r w:rsidR="00393F9F">
        <w:t xml:space="preserve">payable in each future </w:t>
      </w:r>
      <w:r w:rsidR="008821C6">
        <w:t xml:space="preserve">projection </w:t>
      </w:r>
      <w:r w:rsidR="00393F9F">
        <w:t xml:space="preserve">year. </w:t>
      </w:r>
      <w:r w:rsidR="008821C6">
        <w:t xml:space="preserve"> As the premium cost includes the capitalised value of all invalidity pension payments (and associated superannuation contributions) arising from an invalidity claim, these </w:t>
      </w:r>
      <w:r w:rsidR="00A9326A">
        <w:t xml:space="preserve">premiums </w:t>
      </w:r>
      <w:r w:rsidR="008821C6">
        <w:t>will be higher than the cash expenditure</w:t>
      </w:r>
      <w:r w:rsidR="00E16D36" w:rsidRPr="00E16D36">
        <w:t xml:space="preserve"> </w:t>
      </w:r>
      <w:r w:rsidR="00E16D36">
        <w:t>in the short term</w:t>
      </w:r>
      <w:r w:rsidR="008821C6">
        <w:t>. In the long term, premium</w:t>
      </w:r>
      <w:r w:rsidR="00E16D36">
        <w:t xml:space="preserve"> costs and cash expenditure would be expected to</w:t>
      </w:r>
      <w:r w:rsidR="00764F83">
        <w:t xml:space="preserve"> be of a similar order but with cash expenditure </w:t>
      </w:r>
      <w:r w:rsidR="00525538">
        <w:t xml:space="preserve">generally </w:t>
      </w:r>
      <w:r w:rsidR="00764F83">
        <w:t xml:space="preserve">higher than premium costs. </w:t>
      </w:r>
    </w:p>
    <w:p w:rsidR="00A5174B" w:rsidRDefault="0052530A" w:rsidP="0092623A">
      <w:pPr>
        <w:pStyle w:val="BodyText"/>
      </w:pPr>
      <w:r>
        <w:t>On the approach adopted, t</w:t>
      </w:r>
      <w:r w:rsidR="00706CBC">
        <w:t xml:space="preserve">he unfunded </w:t>
      </w:r>
      <w:r w:rsidR="000F63AA">
        <w:t xml:space="preserve">liability of the Scheme at inception was zero. </w:t>
      </w:r>
      <w:r>
        <w:t>A</w:t>
      </w:r>
      <w:r w:rsidR="000F63AA">
        <w:t xml:space="preserve"> non-zero unfunded liability</w:t>
      </w:r>
      <w:r w:rsidR="00A81BA8">
        <w:t xml:space="preserve"> </w:t>
      </w:r>
      <w:r w:rsidR="000F63AA">
        <w:t>arise equal to the actuarial value of the pension(s) payable to invalidity</w:t>
      </w:r>
      <w:r w:rsidR="0092623A">
        <w:t xml:space="preserve"> claimant(s) (and</w:t>
      </w:r>
      <w:r>
        <w:t xml:space="preserve"> superannuation contributions) only when there is an invalidity pension in payment. The first</w:t>
      </w:r>
      <w:r w:rsidR="00383526">
        <w:t xml:space="preserve"> claim </w:t>
      </w:r>
      <w:r w:rsidR="00706CBC">
        <w:t>for an invalidity benefit occurred in the 6 months to 31 December 2009.</w:t>
      </w:r>
      <w:r w:rsidR="0092623A">
        <w:t xml:space="preserve"> This claim is still in payment and, as a result, there is an unfunded liability. </w:t>
      </w:r>
      <w:r>
        <w:t xml:space="preserve">While outside the </w:t>
      </w:r>
      <w:r>
        <w:lastRenderedPageBreak/>
        <w:t>scope of this report, we note that a second invalidity pension commenced after 30 June 2014.</w:t>
      </w:r>
    </w:p>
    <w:p w:rsidR="0092623A" w:rsidRDefault="0092623A" w:rsidP="0092623A">
      <w:pPr>
        <w:pStyle w:val="BodyText"/>
      </w:pPr>
      <w:r>
        <w:t xml:space="preserve">Due to </w:t>
      </w:r>
      <w:r w:rsidR="00C22B66">
        <w:t>a combination of the r</w:t>
      </w:r>
      <w:r>
        <w:t xml:space="preserve">elatively small size of the Scheme and the low </w:t>
      </w:r>
      <w:r w:rsidR="0002758F">
        <w:t>probabilities of events</w:t>
      </w:r>
      <w:r w:rsidR="00C22B66">
        <w:t xml:space="preserve">, the numbers of claims made per year are expected to be volatile.  As a result, actual cashflows may differ significantly from cashflow projections. </w:t>
      </w:r>
      <w:r>
        <w:t xml:space="preserve"> </w:t>
      </w:r>
    </w:p>
    <w:p w:rsidR="00663406" w:rsidRDefault="00E16D36" w:rsidP="00FD509D">
      <w:pPr>
        <w:pStyle w:val="BodyText"/>
      </w:pPr>
      <w:r>
        <w:t>I consider</w:t>
      </w:r>
      <w:r w:rsidR="00FD509D">
        <w:t xml:space="preserve"> that this report complies with the Institute of Actuaries of Australia Professional Standard 400 (PS400) (Investigations of Defined Benefit Superannuation Funds) allowing for the fact that </w:t>
      </w:r>
      <w:r w:rsidR="00483FFF">
        <w:t>the Federal Circuit Court of Australia Death and Invalidity Scheme</w:t>
      </w:r>
      <w:r w:rsidR="00A270EF">
        <w:t xml:space="preserve"> </w:t>
      </w:r>
      <w:r>
        <w:t>is unfunded,</w:t>
      </w:r>
      <w:r w:rsidR="00FD509D">
        <w:t xml:space="preserve"> has an underlying Commonwealth government guarantee</w:t>
      </w:r>
      <w:r>
        <w:t xml:space="preserve"> and only covers death and invalidity benefits</w:t>
      </w:r>
      <w:r w:rsidR="00FD509D">
        <w:t>. For reference, PS400 is primarily designed to cover funded (private sector) superannuation schemes where actual contributions paid into the scheme and solvency matters are important.</w:t>
      </w:r>
    </w:p>
    <w:p w:rsidR="00663406" w:rsidRDefault="00663406">
      <w:pPr>
        <w:spacing w:before="0" w:after="0" w:line="240" w:lineRule="auto"/>
        <w:jc w:val="left"/>
      </w:pPr>
      <w:r>
        <w:br w:type="page"/>
      </w:r>
    </w:p>
    <w:p w:rsidR="00FD509D" w:rsidRDefault="00483FFF" w:rsidP="009612B8">
      <w:pPr>
        <w:pStyle w:val="Heading2"/>
      </w:pPr>
      <w:r>
        <w:t>THE FEDERAL CIRCUIT COURT OF AUSTRALIA DEATH AND INVALIDITY SCHEME</w:t>
      </w:r>
    </w:p>
    <w:p w:rsidR="003027E3" w:rsidRPr="00AD431C" w:rsidRDefault="00FD509D" w:rsidP="00D0528B">
      <w:pPr>
        <w:pStyle w:val="BodyText"/>
      </w:pPr>
      <w:r w:rsidRPr="00AD431C">
        <w:t xml:space="preserve">The legislation covering </w:t>
      </w:r>
      <w:r w:rsidR="00483FFF">
        <w:t>the Federal Circuit Court of Australia Death and Invalidity Scheme</w:t>
      </w:r>
      <w:r w:rsidRPr="00AD431C">
        <w:t xml:space="preserve"> is the</w:t>
      </w:r>
      <w:r w:rsidRPr="00AD431C">
        <w:rPr>
          <w:i/>
        </w:rPr>
        <w:t xml:space="preserve"> </w:t>
      </w:r>
      <w:r w:rsidR="0004748B" w:rsidRPr="00AD431C">
        <w:rPr>
          <w:i/>
        </w:rPr>
        <w:t xml:space="preserve">Federal </w:t>
      </w:r>
      <w:r w:rsidR="004E3B2E">
        <w:rPr>
          <w:i/>
        </w:rPr>
        <w:t>Circuit Court of Australia</w:t>
      </w:r>
      <w:r w:rsidR="0004748B" w:rsidRPr="00AD431C">
        <w:rPr>
          <w:i/>
        </w:rPr>
        <w:t xml:space="preserve"> Act 1999</w:t>
      </w:r>
      <w:r w:rsidRPr="00AD431C">
        <w:t xml:space="preserve">.  </w:t>
      </w:r>
      <w:r w:rsidR="003027E3" w:rsidRPr="00AD431C">
        <w:t xml:space="preserve">It </w:t>
      </w:r>
      <w:r w:rsidR="003027E3" w:rsidRPr="00AD431C">
        <w:rPr>
          <w:rFonts w:cs="Arial"/>
        </w:rPr>
        <w:t xml:space="preserve">provides for </w:t>
      </w:r>
      <w:r w:rsidR="00AD431C" w:rsidRPr="00AD431C">
        <w:rPr>
          <w:rFonts w:cs="Arial"/>
        </w:rPr>
        <w:t xml:space="preserve">payment of </w:t>
      </w:r>
      <w:r w:rsidR="003027E3" w:rsidRPr="00AD431C">
        <w:rPr>
          <w:rFonts w:cs="Arial"/>
        </w:rPr>
        <w:t xml:space="preserve">an </w:t>
      </w:r>
      <w:r w:rsidR="00AD431C" w:rsidRPr="00AD431C">
        <w:rPr>
          <w:rFonts w:cs="Arial"/>
        </w:rPr>
        <w:t>invalidity pension and a death benefit.</w:t>
      </w:r>
      <w:r w:rsidR="00E16D36">
        <w:rPr>
          <w:rFonts w:cs="Arial"/>
        </w:rPr>
        <w:t xml:space="preserve"> </w:t>
      </w:r>
      <w:r w:rsidR="00E16D36">
        <w:t xml:space="preserve">The Scheme is an exempt public sector superannuation scheme under the </w:t>
      </w:r>
      <w:r w:rsidR="00E16D36" w:rsidRPr="0064185A">
        <w:rPr>
          <w:i/>
        </w:rPr>
        <w:t>Superannuation Industry (Supervision) Act 1993.</w:t>
      </w:r>
    </w:p>
    <w:p w:rsidR="003027E3" w:rsidRDefault="00DF5206" w:rsidP="00DF5206">
      <w:pPr>
        <w:pStyle w:val="BodyText"/>
      </w:pPr>
      <w:r>
        <w:rPr>
          <w:rFonts w:cs="Arial"/>
        </w:rPr>
        <w:t>The S</w:t>
      </w:r>
      <w:r w:rsidR="003027E3" w:rsidRPr="0055649A">
        <w:rPr>
          <w:rFonts w:cs="Arial"/>
        </w:rPr>
        <w:t xml:space="preserve">cheme is unfunded and does not hold any assets. </w:t>
      </w:r>
      <w:r>
        <w:t xml:space="preserve">The Scheme has no </w:t>
      </w:r>
      <w:r w:rsidR="007C2DCD">
        <w:t>external insurance arrangements</w:t>
      </w:r>
      <w:r>
        <w:t xml:space="preserve">. </w:t>
      </w:r>
      <w:r w:rsidRPr="00BB13A8">
        <w:t xml:space="preserve"> </w:t>
      </w:r>
      <w:r w:rsidR="004E3B2E">
        <w:t xml:space="preserve">Judges of the </w:t>
      </w:r>
      <w:r w:rsidR="001661FE">
        <w:t xml:space="preserve">Federal </w:t>
      </w:r>
      <w:r w:rsidR="004E3B2E">
        <w:t>Circuit Court of Australia</w:t>
      </w:r>
      <w:r>
        <w:t xml:space="preserve"> </w:t>
      </w:r>
      <w:r w:rsidRPr="00BB13A8">
        <w:t xml:space="preserve">do not contribute to the </w:t>
      </w:r>
      <w:r>
        <w:t>S</w:t>
      </w:r>
      <w:r w:rsidRPr="00BB13A8">
        <w:t>cheme and the Commonwealth meets all of the costs of benefits.</w:t>
      </w:r>
    </w:p>
    <w:p w:rsidR="003027E3" w:rsidRPr="00DF5206" w:rsidRDefault="003027E3" w:rsidP="003027E3">
      <w:pPr>
        <w:pStyle w:val="BodyText"/>
      </w:pPr>
      <w:r w:rsidRPr="0055649A">
        <w:rPr>
          <w:rFonts w:cs="Arial"/>
        </w:rPr>
        <w:t xml:space="preserve">Benefits are paid out of Consolidated Revenue as they are due.  This is an acceptable method of funding as the Scheme has an underlying Commonwealth Guarantee.  </w:t>
      </w:r>
    </w:p>
    <w:p w:rsidR="003027E3" w:rsidRPr="003027E3" w:rsidRDefault="003027E3" w:rsidP="003027E3">
      <w:pPr>
        <w:pStyle w:val="BodyText"/>
      </w:pPr>
      <w:r w:rsidRPr="0055649A">
        <w:rPr>
          <w:rFonts w:cs="Arial"/>
        </w:rPr>
        <w:t>Th</w:t>
      </w:r>
      <w:r w:rsidR="00F90BF6">
        <w:rPr>
          <w:rFonts w:cs="Arial"/>
        </w:rPr>
        <w:t>e main benefits payable from</w:t>
      </w:r>
      <w:r>
        <w:rPr>
          <w:rFonts w:cs="Arial"/>
        </w:rPr>
        <w:t xml:space="preserve"> the S</w:t>
      </w:r>
      <w:r w:rsidRPr="0055649A">
        <w:rPr>
          <w:rFonts w:cs="Arial"/>
        </w:rPr>
        <w:t>cheme are summarised below</w:t>
      </w:r>
      <w:r w:rsidR="0038526C">
        <w:rPr>
          <w:rFonts w:cs="Arial"/>
        </w:rPr>
        <w:t>.</w:t>
      </w:r>
    </w:p>
    <w:p w:rsidR="00FE43BA" w:rsidRDefault="00FE43BA" w:rsidP="004E3B2E">
      <w:pPr>
        <w:pStyle w:val="Bullet"/>
        <w:tabs>
          <w:tab w:val="clear" w:pos="1418"/>
          <w:tab w:val="num" w:pos="1701"/>
        </w:tabs>
        <w:ind w:left="1701"/>
      </w:pPr>
      <w:r>
        <w:t xml:space="preserve">Federal </w:t>
      </w:r>
      <w:r w:rsidR="004E3B2E">
        <w:t>Circuit Court of Australia Judges</w:t>
      </w:r>
      <w:r>
        <w:t xml:space="preserve"> who retire due to permanent disability or infirmity are paid a pension </w:t>
      </w:r>
      <w:r w:rsidR="00791C6D">
        <w:t xml:space="preserve">until </w:t>
      </w:r>
      <w:r w:rsidR="00717D40">
        <w:t>t</w:t>
      </w:r>
      <w:r w:rsidR="00791C6D">
        <w:t xml:space="preserve">he age of 70 years or </w:t>
      </w:r>
      <w:r w:rsidR="00717D40">
        <w:t xml:space="preserve">until </w:t>
      </w:r>
      <w:r w:rsidR="00791C6D">
        <w:t xml:space="preserve">he or she dies (whichever happens first). The annual rate of the pension is 60% of the annual rate of salary the </w:t>
      </w:r>
      <w:r w:rsidR="004E3B2E">
        <w:t>Judges</w:t>
      </w:r>
      <w:r w:rsidR="00791C6D">
        <w:t xml:space="preserve"> would have been entitled to if he or she had not retired. At </w:t>
      </w:r>
      <w:r w:rsidR="004E3B2E">
        <w:t>1 July 2014</w:t>
      </w:r>
      <w:r w:rsidR="00130FCD">
        <w:t xml:space="preserve">, the base salary for a </w:t>
      </w:r>
      <w:r w:rsidR="00CF1965">
        <w:t>Judge was</w:t>
      </w:r>
      <w:r w:rsidR="00130FCD">
        <w:t xml:space="preserve"> $</w:t>
      </w:r>
      <w:r w:rsidR="004D3BD2">
        <w:t>348,160 and for the Chief Judge was $412,550</w:t>
      </w:r>
      <w:r w:rsidR="00130FCD">
        <w:t xml:space="preserve">. </w:t>
      </w:r>
      <w:r w:rsidR="00CB64DE">
        <w:t xml:space="preserve">This means the </w:t>
      </w:r>
      <w:r w:rsidR="00C86A53">
        <w:t xml:space="preserve">current pension payable to a retired </w:t>
      </w:r>
      <w:r w:rsidR="004D3BD2">
        <w:t>Judge is $208,896</w:t>
      </w:r>
      <w:r w:rsidR="00C86A53">
        <w:t xml:space="preserve"> per annum</w:t>
      </w:r>
      <w:r w:rsidR="004D3BD2">
        <w:t xml:space="preserve"> (and $247,530</w:t>
      </w:r>
      <w:r w:rsidR="00A25D1C">
        <w:t xml:space="preserve"> per annum is payable to a retired Chief </w:t>
      </w:r>
      <w:r w:rsidR="004D3BD2">
        <w:t>Judge</w:t>
      </w:r>
      <w:r w:rsidR="00A25D1C">
        <w:t>)</w:t>
      </w:r>
      <w:r w:rsidR="00C86A53">
        <w:t xml:space="preserve">. Pensioners also receive </w:t>
      </w:r>
      <w:r w:rsidR="00717D40">
        <w:t xml:space="preserve">Commonwealth </w:t>
      </w:r>
      <w:r w:rsidR="00C86A53">
        <w:t xml:space="preserve">superannuation contributions of 15.4% of their base salary until the age of 65.   </w:t>
      </w:r>
      <w:r w:rsidR="00791C6D">
        <w:t xml:space="preserve"> </w:t>
      </w:r>
    </w:p>
    <w:p w:rsidR="003027E3" w:rsidRDefault="00175336" w:rsidP="00CE03BC">
      <w:pPr>
        <w:pStyle w:val="Bullet"/>
        <w:tabs>
          <w:tab w:val="clear" w:pos="1418"/>
          <w:tab w:val="num" w:pos="1701"/>
        </w:tabs>
        <w:ind w:left="1701"/>
      </w:pPr>
      <w:r>
        <w:t xml:space="preserve">A death benefit is payable where a serving </w:t>
      </w:r>
      <w:r w:rsidR="00F41D94">
        <w:t>Judge</w:t>
      </w:r>
      <w:r>
        <w:t xml:space="preserve"> dies before age 65 leaving an eligible spouse or children</w:t>
      </w:r>
      <w:r w:rsidR="00717D40">
        <w:t xml:space="preserve">.  The benefit consists of a lump sum </w:t>
      </w:r>
      <w:r w:rsidR="00A9326A">
        <w:t xml:space="preserve">of </w:t>
      </w:r>
      <w:r w:rsidR="00717D40">
        <w:t xml:space="preserve">the amount of the Commonwealth superannuation contributions that the </w:t>
      </w:r>
      <w:r w:rsidR="00F41D94">
        <w:t>Judge</w:t>
      </w:r>
      <w:r w:rsidR="00717D40">
        <w:t xml:space="preserve"> would have been entitled to if the </w:t>
      </w:r>
      <w:r w:rsidR="00831A87">
        <w:t>Judge</w:t>
      </w:r>
      <w:r w:rsidR="00717D40">
        <w:t xml:space="preserve"> had not die</w:t>
      </w:r>
      <w:r w:rsidR="00DB11A9">
        <w:t>d</w:t>
      </w:r>
      <w:r w:rsidR="00717D40">
        <w:t xml:space="preserve">, over the period from the </w:t>
      </w:r>
      <w:r w:rsidR="00F41D94">
        <w:t>Judge’s</w:t>
      </w:r>
      <w:r w:rsidR="00717D40">
        <w:t xml:space="preserve"> death to age 65. </w:t>
      </w:r>
      <w:r w:rsidR="001942D0">
        <w:t>The death benefit is also paid to eligible</w:t>
      </w:r>
      <w:r w:rsidR="0003272F">
        <w:t xml:space="preserve"> spouses or children of</w:t>
      </w:r>
      <w:r w:rsidR="001942D0">
        <w:t xml:space="preserve"> </w:t>
      </w:r>
      <w:r w:rsidR="00F41D94">
        <w:t>Judges</w:t>
      </w:r>
      <w:r w:rsidR="001942D0">
        <w:t xml:space="preserve"> </w:t>
      </w:r>
      <w:r w:rsidR="0003272F">
        <w:t xml:space="preserve">receiving an invalidity pension under the Scheme </w:t>
      </w:r>
      <w:r w:rsidR="001942D0">
        <w:t xml:space="preserve">who die before age 65. </w:t>
      </w:r>
    </w:p>
    <w:p w:rsidR="00FD509D" w:rsidRDefault="00717D40" w:rsidP="00B97420">
      <w:pPr>
        <w:pStyle w:val="BodyText"/>
      </w:pPr>
      <w:r>
        <w:t>From 1 July</w:t>
      </w:r>
      <w:r w:rsidR="00604B8D">
        <w:t xml:space="preserve"> 2012</w:t>
      </w:r>
      <w:r>
        <w:t>, the Commonwealth superannuation contribution</w:t>
      </w:r>
      <w:r w:rsidR="00B97420">
        <w:t>s</w:t>
      </w:r>
      <w:r w:rsidR="00DB11A9">
        <w:t xml:space="preserve"> </w:t>
      </w:r>
      <w:r w:rsidR="00B97420">
        <w:t xml:space="preserve">are equivalent to 15.4% of the </w:t>
      </w:r>
      <w:r w:rsidR="00604B8D">
        <w:t>Judge’s</w:t>
      </w:r>
      <w:r w:rsidR="00B97420">
        <w:t xml:space="preserve"> annual salary. </w:t>
      </w:r>
      <w:r w:rsidR="00DB11A9">
        <w:t xml:space="preserve"> Prior to this, Commonwealth superannuation contributions were equivalent to 13.1% of the </w:t>
      </w:r>
      <w:r w:rsidR="003E26A2">
        <w:t>Judge’s</w:t>
      </w:r>
      <w:r w:rsidR="00DB11A9">
        <w:t xml:space="preserve"> annual salary.  </w:t>
      </w:r>
    </w:p>
    <w:p w:rsidR="00FD509D" w:rsidRDefault="00FD509D">
      <w:pPr>
        <w:spacing w:before="0" w:after="0" w:line="240" w:lineRule="auto"/>
        <w:jc w:val="left"/>
      </w:pPr>
      <w:r>
        <w:br w:type="page"/>
      </w:r>
    </w:p>
    <w:p w:rsidR="00FD509D" w:rsidRDefault="00FD509D" w:rsidP="009612B8">
      <w:pPr>
        <w:pStyle w:val="Heading2"/>
      </w:pPr>
      <w:bookmarkStart w:id="7" w:name="_Toc229370570"/>
      <w:bookmarkStart w:id="8" w:name="_Toc328130127"/>
      <w:r w:rsidRPr="009612B8">
        <w:t>MEMBERSHIP</w:t>
      </w:r>
      <w:r>
        <w:t xml:space="preserve"> AND DATA</w:t>
      </w:r>
      <w:bookmarkEnd w:id="7"/>
      <w:bookmarkEnd w:id="8"/>
    </w:p>
    <w:p w:rsidR="002F7273" w:rsidRDefault="002F7273" w:rsidP="00FD509D">
      <w:pPr>
        <w:pStyle w:val="BodyText"/>
      </w:pPr>
      <w:r w:rsidRPr="00C249C8">
        <w:rPr>
          <w:rFonts w:cs="Arial"/>
        </w:rPr>
        <w:t>We have been suppl</w:t>
      </w:r>
      <w:r w:rsidR="00E94E12">
        <w:rPr>
          <w:rFonts w:cs="Arial"/>
        </w:rPr>
        <w:t xml:space="preserve">ied with data by </w:t>
      </w:r>
      <w:r w:rsidR="004A3798">
        <w:rPr>
          <w:rFonts w:cs="Arial"/>
        </w:rPr>
        <w:t xml:space="preserve">the </w:t>
      </w:r>
      <w:r w:rsidR="004A3798" w:rsidRPr="00BB13A8">
        <w:t>Department</w:t>
      </w:r>
      <w:r w:rsidR="004A3798" w:rsidRPr="00663406">
        <w:t xml:space="preserve"> </w:t>
      </w:r>
      <w:r w:rsidR="004A3798">
        <w:t xml:space="preserve">of Finance </w:t>
      </w:r>
      <w:r w:rsidR="007B324B">
        <w:t xml:space="preserve">and </w:t>
      </w:r>
      <w:r w:rsidR="004A3798">
        <w:t xml:space="preserve">the </w:t>
      </w:r>
      <w:r w:rsidR="00E56CD2">
        <w:t>Family Court</w:t>
      </w:r>
      <w:r w:rsidRPr="00C249C8">
        <w:rPr>
          <w:rFonts w:cs="Arial"/>
        </w:rPr>
        <w:t xml:space="preserve">. </w:t>
      </w:r>
      <w:r>
        <w:rPr>
          <w:rFonts w:cs="Arial"/>
        </w:rPr>
        <w:t xml:space="preserve"> </w:t>
      </w:r>
      <w:r>
        <w:t xml:space="preserve">I am satisfied that the data provided is accurate for the purposes of this report. </w:t>
      </w:r>
    </w:p>
    <w:p w:rsidR="00E56CD2" w:rsidRPr="00951388" w:rsidRDefault="004A3798" w:rsidP="00FD509D">
      <w:pPr>
        <w:pStyle w:val="BodyText"/>
      </w:pPr>
      <w:r>
        <w:rPr>
          <w:rFonts w:cs="Arial"/>
        </w:rPr>
        <w:t xml:space="preserve">At </w:t>
      </w:r>
      <w:r w:rsidR="00527D8E">
        <w:rPr>
          <w:rFonts w:cs="Arial"/>
        </w:rPr>
        <w:t>1 July 2014</w:t>
      </w:r>
      <w:r w:rsidR="0081662B">
        <w:rPr>
          <w:rFonts w:cs="Arial"/>
        </w:rPr>
        <w:t xml:space="preserve"> there were 6</w:t>
      </w:r>
      <w:r w:rsidR="00527D8E">
        <w:rPr>
          <w:rFonts w:cs="Arial"/>
        </w:rPr>
        <w:t>5</w:t>
      </w:r>
      <w:r w:rsidR="0081662B">
        <w:rPr>
          <w:rFonts w:cs="Arial"/>
        </w:rPr>
        <w:t xml:space="preserve"> serving Federal Magistrates</w:t>
      </w:r>
      <w:r w:rsidR="00E56CD2">
        <w:rPr>
          <w:rFonts w:cs="Arial"/>
        </w:rPr>
        <w:t xml:space="preserve"> as set out in the table below.</w:t>
      </w:r>
    </w:p>
    <w:p w:rsidR="00E56CD2" w:rsidRDefault="00E56CD2" w:rsidP="00E56CD2">
      <w:pPr>
        <w:pStyle w:val="BodyText"/>
        <w:numPr>
          <w:ilvl w:val="0"/>
          <w:numId w:val="0"/>
        </w:numPr>
        <w:ind w:left="850"/>
        <w:rPr>
          <w:rFonts w:cs="Arial"/>
        </w:rPr>
      </w:pPr>
    </w:p>
    <w:tbl>
      <w:tblPr>
        <w:tblW w:w="7484" w:type="dxa"/>
        <w:tblInd w:w="98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089"/>
        <w:gridCol w:w="1560"/>
        <w:gridCol w:w="2835"/>
      </w:tblGrid>
      <w:tr w:rsidR="00951388" w:rsidTr="00527D8E">
        <w:tc>
          <w:tcPr>
            <w:tcW w:w="7484" w:type="dxa"/>
            <w:gridSpan w:val="3"/>
            <w:tcBorders>
              <w:top w:val="double" w:sz="6" w:space="0" w:color="auto"/>
              <w:bottom w:val="single" w:sz="12" w:space="0" w:color="auto"/>
            </w:tcBorders>
          </w:tcPr>
          <w:p w:rsidR="00951388" w:rsidRPr="00047A42" w:rsidRDefault="00951388" w:rsidP="00527D8E">
            <w:pPr>
              <w:pStyle w:val="BodyText"/>
              <w:keepNext/>
              <w:numPr>
                <w:ilvl w:val="0"/>
                <w:numId w:val="0"/>
              </w:numPr>
              <w:spacing w:before="60" w:after="60"/>
              <w:jc w:val="center"/>
              <w:rPr>
                <w:b/>
                <w:sz w:val="24"/>
                <w:szCs w:val="24"/>
              </w:rPr>
            </w:pPr>
            <w:r w:rsidRPr="00047A42">
              <w:rPr>
                <w:b/>
                <w:sz w:val="24"/>
                <w:szCs w:val="24"/>
              </w:rPr>
              <w:t xml:space="preserve">SERVING </w:t>
            </w:r>
            <w:r>
              <w:rPr>
                <w:b/>
                <w:sz w:val="24"/>
                <w:szCs w:val="24"/>
              </w:rPr>
              <w:t xml:space="preserve">FEDERAL </w:t>
            </w:r>
            <w:r w:rsidR="00527D8E">
              <w:rPr>
                <w:b/>
                <w:sz w:val="24"/>
                <w:szCs w:val="24"/>
              </w:rPr>
              <w:t>CIRCUIT COURT OF AUSTRALIA JUDGES</w:t>
            </w:r>
            <w:r>
              <w:rPr>
                <w:b/>
                <w:sz w:val="24"/>
                <w:szCs w:val="24"/>
              </w:rPr>
              <w:t xml:space="preserve"> at 1 July 201</w:t>
            </w:r>
            <w:r w:rsidR="00527D8E">
              <w:rPr>
                <w:b/>
                <w:sz w:val="24"/>
                <w:szCs w:val="24"/>
              </w:rPr>
              <w:t>4</w:t>
            </w:r>
          </w:p>
        </w:tc>
      </w:tr>
      <w:tr w:rsidR="00951388" w:rsidTr="00527D8E">
        <w:trPr>
          <w:trHeight w:val="627"/>
        </w:trPr>
        <w:tc>
          <w:tcPr>
            <w:tcW w:w="3089" w:type="dxa"/>
            <w:tcBorders>
              <w:top w:val="single" w:sz="12" w:space="0" w:color="auto"/>
            </w:tcBorders>
          </w:tcPr>
          <w:p w:rsidR="00951388" w:rsidRDefault="00951388" w:rsidP="005B686D">
            <w:pPr>
              <w:pStyle w:val="BodyText"/>
              <w:keepNext/>
              <w:numPr>
                <w:ilvl w:val="0"/>
                <w:numId w:val="0"/>
              </w:numPr>
              <w:spacing w:before="60" w:after="60"/>
            </w:pPr>
          </w:p>
        </w:tc>
        <w:tc>
          <w:tcPr>
            <w:tcW w:w="1560" w:type="dxa"/>
            <w:tcBorders>
              <w:top w:val="single" w:sz="12" w:space="0" w:color="auto"/>
            </w:tcBorders>
          </w:tcPr>
          <w:p w:rsidR="00951388" w:rsidRPr="00047A42" w:rsidRDefault="00951388" w:rsidP="00951388">
            <w:pPr>
              <w:pStyle w:val="BodyText"/>
              <w:keepNext/>
              <w:numPr>
                <w:ilvl w:val="0"/>
                <w:numId w:val="0"/>
              </w:numPr>
              <w:spacing w:before="60" w:after="60"/>
              <w:jc w:val="center"/>
              <w:rPr>
                <w:b/>
              </w:rPr>
            </w:pPr>
            <w:r w:rsidRPr="00047A42">
              <w:rPr>
                <w:b/>
              </w:rPr>
              <w:t>Number</w:t>
            </w:r>
          </w:p>
        </w:tc>
        <w:tc>
          <w:tcPr>
            <w:tcW w:w="2835" w:type="dxa"/>
            <w:tcBorders>
              <w:top w:val="single" w:sz="12" w:space="0" w:color="auto"/>
            </w:tcBorders>
          </w:tcPr>
          <w:p w:rsidR="00951388" w:rsidRPr="00047A42" w:rsidRDefault="00951388" w:rsidP="00951388">
            <w:pPr>
              <w:pStyle w:val="BodyText"/>
              <w:keepNext/>
              <w:numPr>
                <w:ilvl w:val="0"/>
                <w:numId w:val="0"/>
              </w:numPr>
              <w:spacing w:before="60" w:after="60"/>
              <w:jc w:val="center"/>
              <w:rPr>
                <w:b/>
              </w:rPr>
            </w:pPr>
            <w:r w:rsidRPr="00047A42">
              <w:rPr>
                <w:b/>
              </w:rPr>
              <w:t>Total</w:t>
            </w:r>
            <w:r>
              <w:rPr>
                <w:b/>
              </w:rPr>
              <w:t xml:space="preserve"> </w:t>
            </w:r>
            <w:r w:rsidRPr="00047A42">
              <w:rPr>
                <w:b/>
              </w:rPr>
              <w:t>Salaries</w:t>
            </w:r>
            <w:r w:rsidRPr="00047A42">
              <w:rPr>
                <w:b/>
              </w:rPr>
              <w:br/>
            </w:r>
            <w:r>
              <w:rPr>
                <w:b/>
              </w:rPr>
              <w:t>(</w:t>
            </w:r>
            <w:r w:rsidRPr="00047A42">
              <w:rPr>
                <w:b/>
              </w:rPr>
              <w:t>$ pa</w:t>
            </w:r>
            <w:r>
              <w:rPr>
                <w:b/>
              </w:rPr>
              <w:t>)</w:t>
            </w:r>
          </w:p>
        </w:tc>
      </w:tr>
      <w:tr w:rsidR="00951388" w:rsidTr="00527D8E">
        <w:tc>
          <w:tcPr>
            <w:tcW w:w="3089" w:type="dxa"/>
          </w:tcPr>
          <w:p w:rsidR="00951388" w:rsidRDefault="00951388" w:rsidP="005B686D">
            <w:pPr>
              <w:pStyle w:val="BodyText"/>
              <w:keepNext/>
              <w:numPr>
                <w:ilvl w:val="0"/>
                <w:numId w:val="0"/>
              </w:numPr>
              <w:spacing w:before="120" w:after="120"/>
            </w:pPr>
            <w:r>
              <w:t>Males</w:t>
            </w:r>
          </w:p>
        </w:tc>
        <w:tc>
          <w:tcPr>
            <w:tcW w:w="1560" w:type="dxa"/>
          </w:tcPr>
          <w:p w:rsidR="00951388" w:rsidRDefault="00951388" w:rsidP="00951388">
            <w:pPr>
              <w:pStyle w:val="BodyText"/>
              <w:keepNext/>
              <w:numPr>
                <w:ilvl w:val="0"/>
                <w:numId w:val="0"/>
              </w:numPr>
              <w:tabs>
                <w:tab w:val="decimal" w:pos="824"/>
              </w:tabs>
              <w:spacing w:before="120" w:after="120"/>
            </w:pPr>
            <w:r>
              <w:t>4</w:t>
            </w:r>
            <w:r w:rsidR="00527D8E">
              <w:t>0</w:t>
            </w:r>
          </w:p>
        </w:tc>
        <w:tc>
          <w:tcPr>
            <w:tcW w:w="2835" w:type="dxa"/>
          </w:tcPr>
          <w:p w:rsidR="00951388" w:rsidRDefault="00527D8E" w:rsidP="00764F83">
            <w:pPr>
              <w:pStyle w:val="BodyText"/>
              <w:keepNext/>
              <w:numPr>
                <w:ilvl w:val="0"/>
                <w:numId w:val="0"/>
              </w:numPr>
              <w:tabs>
                <w:tab w:val="decimal" w:pos="1375"/>
              </w:tabs>
              <w:spacing w:before="120" w:after="120"/>
              <w:jc w:val="center"/>
            </w:pPr>
            <w:r>
              <w:t>13</w:t>
            </w:r>
            <w:r w:rsidR="00951388">
              <w:t>,</w:t>
            </w:r>
            <w:r>
              <w:t>990</w:t>
            </w:r>
            <w:r w:rsidR="00951388">
              <w:t>,</w:t>
            </w:r>
            <w:r>
              <w:t>79</w:t>
            </w:r>
            <w:r w:rsidR="00764F83">
              <w:t>0</w:t>
            </w:r>
          </w:p>
        </w:tc>
      </w:tr>
      <w:tr w:rsidR="00951388" w:rsidTr="00527D8E">
        <w:tc>
          <w:tcPr>
            <w:tcW w:w="3089" w:type="dxa"/>
          </w:tcPr>
          <w:p w:rsidR="00951388" w:rsidRDefault="00951388" w:rsidP="005B686D">
            <w:pPr>
              <w:pStyle w:val="BodyText"/>
              <w:keepNext/>
              <w:numPr>
                <w:ilvl w:val="0"/>
                <w:numId w:val="0"/>
              </w:numPr>
              <w:spacing w:before="120" w:after="120"/>
            </w:pPr>
            <w:r>
              <w:t>Females</w:t>
            </w:r>
          </w:p>
        </w:tc>
        <w:tc>
          <w:tcPr>
            <w:tcW w:w="1560" w:type="dxa"/>
          </w:tcPr>
          <w:p w:rsidR="00951388" w:rsidRPr="005C7BAF" w:rsidRDefault="00951388" w:rsidP="00951388">
            <w:pPr>
              <w:pStyle w:val="BodyText"/>
              <w:keepNext/>
              <w:numPr>
                <w:ilvl w:val="0"/>
                <w:numId w:val="0"/>
              </w:numPr>
              <w:tabs>
                <w:tab w:val="decimal" w:pos="824"/>
              </w:tabs>
              <w:spacing w:before="120" w:after="120"/>
            </w:pPr>
            <w:r>
              <w:t>2</w:t>
            </w:r>
            <w:r w:rsidR="00527D8E">
              <w:t>5</w:t>
            </w:r>
          </w:p>
        </w:tc>
        <w:tc>
          <w:tcPr>
            <w:tcW w:w="2835" w:type="dxa"/>
          </w:tcPr>
          <w:p w:rsidR="00951388" w:rsidRDefault="00527D8E" w:rsidP="00951388">
            <w:pPr>
              <w:pStyle w:val="BodyText"/>
              <w:keepNext/>
              <w:numPr>
                <w:ilvl w:val="0"/>
                <w:numId w:val="0"/>
              </w:numPr>
              <w:tabs>
                <w:tab w:val="decimal" w:pos="1375"/>
              </w:tabs>
              <w:spacing w:before="120" w:after="120"/>
              <w:jc w:val="center"/>
            </w:pPr>
            <w:r>
              <w:t>8,704,000</w:t>
            </w:r>
          </w:p>
        </w:tc>
      </w:tr>
      <w:tr w:rsidR="00951388" w:rsidTr="00527D8E">
        <w:tc>
          <w:tcPr>
            <w:tcW w:w="3089" w:type="dxa"/>
          </w:tcPr>
          <w:p w:rsidR="00951388" w:rsidRPr="00047A42" w:rsidRDefault="00951388" w:rsidP="005B686D">
            <w:pPr>
              <w:pStyle w:val="BodyText"/>
              <w:numPr>
                <w:ilvl w:val="0"/>
                <w:numId w:val="0"/>
              </w:numPr>
              <w:spacing w:before="120" w:after="120"/>
              <w:rPr>
                <w:b/>
              </w:rPr>
            </w:pPr>
            <w:r w:rsidRPr="00047A42">
              <w:rPr>
                <w:b/>
              </w:rPr>
              <w:t>Total</w:t>
            </w:r>
          </w:p>
        </w:tc>
        <w:tc>
          <w:tcPr>
            <w:tcW w:w="1560" w:type="dxa"/>
          </w:tcPr>
          <w:p w:rsidR="00951388" w:rsidRPr="00047A42" w:rsidRDefault="00951388" w:rsidP="00951388">
            <w:pPr>
              <w:pStyle w:val="BodyText"/>
              <w:keepNext/>
              <w:numPr>
                <w:ilvl w:val="0"/>
                <w:numId w:val="0"/>
              </w:numPr>
              <w:tabs>
                <w:tab w:val="decimal" w:pos="824"/>
              </w:tabs>
              <w:spacing w:before="120" w:after="120"/>
              <w:rPr>
                <w:b/>
              </w:rPr>
            </w:pPr>
            <w:r>
              <w:rPr>
                <w:b/>
              </w:rPr>
              <w:t>6</w:t>
            </w:r>
            <w:r w:rsidR="00527D8E">
              <w:rPr>
                <w:b/>
              </w:rPr>
              <w:t>5</w:t>
            </w:r>
          </w:p>
        </w:tc>
        <w:tc>
          <w:tcPr>
            <w:tcW w:w="2835" w:type="dxa"/>
          </w:tcPr>
          <w:p w:rsidR="00951388" w:rsidRPr="00047A42" w:rsidRDefault="00527D8E" w:rsidP="00764F83">
            <w:pPr>
              <w:pStyle w:val="BodyText"/>
              <w:keepNext/>
              <w:numPr>
                <w:ilvl w:val="0"/>
                <w:numId w:val="0"/>
              </w:numPr>
              <w:tabs>
                <w:tab w:val="decimal" w:pos="1375"/>
              </w:tabs>
              <w:spacing w:before="120" w:after="120"/>
              <w:jc w:val="center"/>
              <w:rPr>
                <w:b/>
              </w:rPr>
            </w:pPr>
            <w:r>
              <w:rPr>
                <w:b/>
              </w:rPr>
              <w:t>22,694,790</w:t>
            </w:r>
          </w:p>
        </w:tc>
      </w:tr>
    </w:tbl>
    <w:p w:rsidR="00E56CD2" w:rsidRPr="00E56CD2" w:rsidRDefault="00E56CD2" w:rsidP="00E56CD2">
      <w:pPr>
        <w:pStyle w:val="BodyText"/>
        <w:numPr>
          <w:ilvl w:val="0"/>
          <w:numId w:val="0"/>
        </w:numPr>
        <w:ind w:left="850"/>
      </w:pPr>
    </w:p>
    <w:p w:rsidR="00624743" w:rsidRPr="00624743" w:rsidRDefault="00606861" w:rsidP="00FD509D">
      <w:pPr>
        <w:pStyle w:val="BodyText"/>
      </w:pPr>
      <w:r>
        <w:rPr>
          <w:rFonts w:cs="Arial"/>
        </w:rPr>
        <w:t>The</w:t>
      </w:r>
      <w:r w:rsidR="009C59CB">
        <w:rPr>
          <w:rFonts w:cs="Arial"/>
        </w:rPr>
        <w:t xml:space="preserve"> average age of serving Judges at 1 July 2014</w:t>
      </w:r>
      <w:r>
        <w:rPr>
          <w:rFonts w:cs="Arial"/>
        </w:rPr>
        <w:t xml:space="preserve"> was </w:t>
      </w:r>
      <w:r w:rsidR="009C59CB">
        <w:rPr>
          <w:rFonts w:cs="Arial"/>
        </w:rPr>
        <w:t>nearly 59</w:t>
      </w:r>
      <w:r w:rsidR="00E175B1">
        <w:rPr>
          <w:rFonts w:cs="Arial"/>
        </w:rPr>
        <w:t xml:space="preserve"> years, with just under </w:t>
      </w:r>
      <w:r w:rsidR="009C59CB">
        <w:rPr>
          <w:rFonts w:cs="Arial"/>
        </w:rPr>
        <w:t>half (46 per cent)</w:t>
      </w:r>
      <w:r w:rsidR="00E175B1">
        <w:rPr>
          <w:rFonts w:cs="Arial"/>
        </w:rPr>
        <w:t xml:space="preserve"> being aged between 50 and 60 years. </w:t>
      </w:r>
      <w:r w:rsidR="009C59CB">
        <w:rPr>
          <w:rFonts w:cs="Arial"/>
        </w:rPr>
        <w:t>Just under one</w:t>
      </w:r>
      <w:r w:rsidR="009C59CB">
        <w:rPr>
          <w:rFonts w:cs="Arial"/>
        </w:rPr>
        <w:noBreakHyphen/>
        <w:t>quarter of Judges (23 per cent) were aged between 60 and 65. One-fifth (20 per cent) of Judges were more that 65 year old as at 1 July 2014.</w:t>
      </w:r>
    </w:p>
    <w:p w:rsidR="00FD509D" w:rsidRDefault="00EE2AD6" w:rsidP="00FD509D">
      <w:pPr>
        <w:pStyle w:val="BodyText"/>
      </w:pPr>
      <w:r>
        <w:rPr>
          <w:rFonts w:cs="Arial"/>
        </w:rPr>
        <w:t>At 1 July 2014</w:t>
      </w:r>
      <w:r w:rsidR="00E56CD2">
        <w:rPr>
          <w:rFonts w:cs="Arial"/>
        </w:rPr>
        <w:t xml:space="preserve"> there was </w:t>
      </w:r>
      <w:r w:rsidR="0081662B">
        <w:rPr>
          <w:rFonts w:cs="Arial"/>
        </w:rPr>
        <w:t xml:space="preserve">one </w:t>
      </w:r>
      <w:r w:rsidR="00E175B1">
        <w:rPr>
          <w:rFonts w:cs="Arial"/>
        </w:rPr>
        <w:t xml:space="preserve">retired </w:t>
      </w:r>
      <w:r>
        <w:rPr>
          <w:rFonts w:cs="Arial"/>
        </w:rPr>
        <w:t>Judge</w:t>
      </w:r>
      <w:r w:rsidR="0081662B">
        <w:rPr>
          <w:rFonts w:cs="Arial"/>
        </w:rPr>
        <w:t xml:space="preserve"> in r</w:t>
      </w:r>
      <w:r w:rsidR="00E175B1">
        <w:rPr>
          <w:rFonts w:cs="Arial"/>
        </w:rPr>
        <w:t xml:space="preserve">eceipt of an </w:t>
      </w:r>
      <w:r w:rsidR="00E56CD2">
        <w:rPr>
          <w:rFonts w:cs="Arial"/>
        </w:rPr>
        <w:t xml:space="preserve">annual </w:t>
      </w:r>
      <w:r w:rsidR="00E175B1">
        <w:rPr>
          <w:rFonts w:cs="Arial"/>
        </w:rPr>
        <w:t>invalidity pension</w:t>
      </w:r>
      <w:r w:rsidR="00E56CD2">
        <w:rPr>
          <w:rFonts w:cs="Arial"/>
        </w:rPr>
        <w:t xml:space="preserve"> of </w:t>
      </w:r>
      <w:r>
        <w:rPr>
          <w:rFonts w:cs="Arial"/>
        </w:rPr>
        <w:t>$208,896</w:t>
      </w:r>
      <w:r w:rsidR="0081662B">
        <w:rPr>
          <w:rFonts w:cs="Arial"/>
        </w:rPr>
        <w:t xml:space="preserve">.    </w:t>
      </w:r>
      <w:r w:rsidR="002F7273">
        <w:rPr>
          <w:rFonts w:cs="Arial"/>
        </w:rPr>
        <w:t xml:space="preserve"> </w:t>
      </w:r>
    </w:p>
    <w:p w:rsidR="002E3C9A" w:rsidRDefault="002E3C9A" w:rsidP="00FD509D">
      <w:pPr>
        <w:pStyle w:val="BodyText"/>
        <w:keepNext/>
        <w:numPr>
          <w:ilvl w:val="0"/>
          <w:numId w:val="0"/>
        </w:numPr>
        <w:rPr>
          <w:i/>
        </w:rPr>
      </w:pPr>
    </w:p>
    <w:p w:rsidR="005E10D9" w:rsidRDefault="005E10D9" w:rsidP="00692AF5">
      <w:pPr>
        <w:pStyle w:val="BodyText"/>
        <w:numPr>
          <w:ilvl w:val="0"/>
          <w:numId w:val="0"/>
        </w:numPr>
        <w:ind w:left="850" w:hanging="850"/>
      </w:pPr>
    </w:p>
    <w:p w:rsidR="00FD509D" w:rsidRDefault="005E10D9">
      <w:pPr>
        <w:spacing w:before="0" w:after="0" w:line="240" w:lineRule="auto"/>
        <w:jc w:val="left"/>
      </w:pPr>
      <w:r>
        <w:br w:type="page"/>
      </w:r>
    </w:p>
    <w:p w:rsidR="00FD509D" w:rsidRDefault="00FD509D" w:rsidP="009612B8">
      <w:pPr>
        <w:pStyle w:val="Heading2"/>
      </w:pPr>
      <w:bookmarkStart w:id="9" w:name="_Toc229370571"/>
      <w:bookmarkStart w:id="10" w:name="_Toc328130128"/>
      <w:r w:rsidRPr="009612B8">
        <w:t>ASSUMPTIONS</w:t>
      </w:r>
      <w:bookmarkEnd w:id="9"/>
      <w:bookmarkEnd w:id="10"/>
    </w:p>
    <w:p w:rsidR="003B675F" w:rsidRPr="00FE6E74" w:rsidRDefault="00483FFF" w:rsidP="003B675F">
      <w:pPr>
        <w:pStyle w:val="BodyText"/>
        <w:rPr>
          <w:spacing w:val="-3"/>
        </w:rPr>
      </w:pPr>
      <w:r>
        <w:t>The Federal Circuit Court of Australia Death and Invalidity Scheme</w:t>
      </w:r>
      <w:r w:rsidR="00226E7B">
        <w:t xml:space="preserve"> is a </w:t>
      </w:r>
      <w:r w:rsidR="0003272F">
        <w:t>relatively small scheme which, as at the valuation date, had b</w:t>
      </w:r>
      <w:r w:rsidR="00CF6ACC">
        <w:t>een in operation for less than 8</w:t>
      </w:r>
      <w:r w:rsidR="0003272F">
        <w:t xml:space="preserve"> years</w:t>
      </w:r>
      <w:r w:rsidR="00226E7B">
        <w:t xml:space="preserve">. As such, there is </w:t>
      </w:r>
      <w:r w:rsidR="00FB6F4F">
        <w:t>little</w:t>
      </w:r>
      <w:r w:rsidR="00226E7B">
        <w:t xml:space="preserve"> existing experience on which to</w:t>
      </w:r>
      <w:r w:rsidR="00183877">
        <w:t xml:space="preserve"> base demographic assumptions.  </w:t>
      </w:r>
      <w:r w:rsidR="003B675F" w:rsidRPr="00C25398">
        <w:rPr>
          <w:rFonts w:cs="Arial"/>
        </w:rPr>
        <w:t xml:space="preserve">As a </w:t>
      </w:r>
      <w:r w:rsidR="00183877">
        <w:rPr>
          <w:rFonts w:cs="Arial"/>
        </w:rPr>
        <w:t>result</w:t>
      </w:r>
      <w:r w:rsidR="003B675F" w:rsidRPr="00C25398">
        <w:rPr>
          <w:rFonts w:cs="Arial"/>
        </w:rPr>
        <w:t xml:space="preserve">, we have based the assumptions, for the most </w:t>
      </w:r>
      <w:r w:rsidR="00564D24">
        <w:rPr>
          <w:rFonts w:cs="Arial"/>
        </w:rPr>
        <w:t>part, on those adopted for the Long Term Cost R</w:t>
      </w:r>
      <w:r w:rsidR="003B675F" w:rsidRPr="00C25398">
        <w:rPr>
          <w:rFonts w:cs="Arial"/>
        </w:rPr>
        <w:t>eport on the Judges’ Pension Scheme as at 30 June 20</w:t>
      </w:r>
      <w:r w:rsidR="006A1CC3">
        <w:rPr>
          <w:rFonts w:cs="Arial"/>
        </w:rPr>
        <w:t>14</w:t>
      </w:r>
      <w:r w:rsidR="003B675F" w:rsidRPr="00C25398">
        <w:rPr>
          <w:rFonts w:cs="Arial"/>
        </w:rPr>
        <w:t xml:space="preserve">.  </w:t>
      </w:r>
      <w:r w:rsidR="00796863">
        <w:rPr>
          <w:rFonts w:cs="Arial"/>
        </w:rPr>
        <w:t>We note that most of these assumptions are based on the assumptions used for the most recent Commonwealth Superannuation Scheme</w:t>
      </w:r>
      <w:r w:rsidR="005B686D">
        <w:rPr>
          <w:rFonts w:cs="Arial"/>
        </w:rPr>
        <w:t xml:space="preserve"> (CSS)</w:t>
      </w:r>
      <w:r w:rsidR="0027710B">
        <w:rPr>
          <w:rFonts w:cs="Arial"/>
        </w:rPr>
        <w:t xml:space="preserve"> in the PSS an</w:t>
      </w:r>
      <w:r w:rsidR="006A1CC3">
        <w:rPr>
          <w:rFonts w:cs="Arial"/>
        </w:rPr>
        <w:t>d CSS Long Term Cost Report as at 2014</w:t>
      </w:r>
      <w:r w:rsidR="00796863">
        <w:rPr>
          <w:rFonts w:cs="Arial"/>
        </w:rPr>
        <w:t>.</w:t>
      </w:r>
    </w:p>
    <w:p w:rsidR="00FD509D" w:rsidRPr="00FF52E9" w:rsidRDefault="00FD509D" w:rsidP="00FD509D">
      <w:pPr>
        <w:pStyle w:val="BodyText"/>
      </w:pPr>
      <w:r>
        <w:rPr>
          <w:spacing w:val="-3"/>
        </w:rPr>
        <w:t xml:space="preserve">Details of the assumptions used are provided in Appendix </w:t>
      </w:r>
      <w:r w:rsidR="003027E3">
        <w:rPr>
          <w:spacing w:val="-3"/>
        </w:rPr>
        <w:t>A</w:t>
      </w:r>
      <w:r>
        <w:rPr>
          <w:spacing w:val="-3"/>
        </w:rPr>
        <w:t>.</w:t>
      </w:r>
    </w:p>
    <w:p w:rsidR="00FD509D" w:rsidRDefault="00FD509D" w:rsidP="00FD509D">
      <w:pPr>
        <w:pStyle w:val="BodyText"/>
        <w:numPr>
          <w:ilvl w:val="0"/>
          <w:numId w:val="0"/>
        </w:numPr>
        <w:rPr>
          <w:spacing w:val="-3"/>
        </w:rPr>
      </w:pPr>
      <w:r>
        <w:rPr>
          <w:i/>
          <w:spacing w:val="-3"/>
        </w:rPr>
        <w:t>Financial Assumptions</w:t>
      </w:r>
    </w:p>
    <w:p w:rsidR="00FD509D" w:rsidRDefault="00FD509D" w:rsidP="00FD509D">
      <w:pPr>
        <w:pStyle w:val="BodyText"/>
      </w:pPr>
      <w:r>
        <w:t>The significant financial assumptions made in determining the long term cost of the Scheme, are:</w:t>
      </w:r>
    </w:p>
    <w:p w:rsidR="00FD509D" w:rsidRDefault="00FD509D" w:rsidP="009104C9">
      <w:pPr>
        <w:pStyle w:val="Bullet"/>
        <w:tabs>
          <w:tab w:val="clear" w:pos="1418"/>
          <w:tab w:val="num" w:pos="1701"/>
        </w:tabs>
        <w:ind w:left="1701"/>
      </w:pPr>
      <w:r>
        <w:t xml:space="preserve">the level of future increases in </w:t>
      </w:r>
      <w:r w:rsidR="00690EC9">
        <w:t xml:space="preserve">the </w:t>
      </w:r>
      <w:r w:rsidR="009104C9">
        <w:t>Judge’s</w:t>
      </w:r>
      <w:r w:rsidR="00690EC9">
        <w:t xml:space="preserve"> salary on which pensions are based</w:t>
      </w:r>
      <w:r>
        <w:t>;  and</w:t>
      </w:r>
    </w:p>
    <w:p w:rsidR="00FD509D" w:rsidRPr="00FF52E9" w:rsidRDefault="00FD509D" w:rsidP="009104C9">
      <w:pPr>
        <w:pStyle w:val="Bullet"/>
        <w:tabs>
          <w:tab w:val="clear" w:pos="1418"/>
          <w:tab w:val="num" w:pos="1701"/>
        </w:tabs>
        <w:ind w:left="1701"/>
      </w:pPr>
      <w:r>
        <w:t xml:space="preserve">the </w:t>
      </w:r>
      <w:r>
        <w:rPr>
          <w:spacing w:val="-3"/>
        </w:rPr>
        <w:t xml:space="preserve">interest rate </w:t>
      </w:r>
      <w:r w:rsidRPr="003324B7">
        <w:rPr>
          <w:spacing w:val="-3"/>
        </w:rPr>
        <w:t xml:space="preserve">that is assumed </w:t>
      </w:r>
      <w:r>
        <w:rPr>
          <w:spacing w:val="-3"/>
        </w:rPr>
        <w:t>for discounting projected benefit payments to give a present day value.</w:t>
      </w:r>
    </w:p>
    <w:p w:rsidR="00FD509D" w:rsidRDefault="00FD509D" w:rsidP="00FD509D">
      <w:pPr>
        <w:pStyle w:val="BodyText"/>
        <w:rPr>
          <w:spacing w:val="-3"/>
          <w:sz w:val="24"/>
        </w:rPr>
      </w:pPr>
      <w:r>
        <w:t>For this report, the following assumptions have been adopted:</w:t>
      </w:r>
    </w:p>
    <w:p w:rsidR="00FD509D" w:rsidRDefault="00FD509D" w:rsidP="007C7FFA">
      <w:pPr>
        <w:tabs>
          <w:tab w:val="left" w:pos="1701"/>
          <w:tab w:val="left" w:pos="5060"/>
        </w:tabs>
        <w:suppressAutoHyphens/>
        <w:ind w:left="720" w:hanging="720"/>
        <w:rPr>
          <w:spacing w:val="-3"/>
        </w:rPr>
      </w:pPr>
      <w:r>
        <w:rPr>
          <w:spacing w:val="-3"/>
          <w:sz w:val="24"/>
        </w:rPr>
        <w:tab/>
      </w:r>
      <w:r w:rsidRPr="003324B7">
        <w:rPr>
          <w:spacing w:val="-3"/>
        </w:rPr>
        <w:tab/>
        <w:t>In</w:t>
      </w:r>
      <w:r>
        <w:rPr>
          <w:spacing w:val="-3"/>
        </w:rPr>
        <w:t>terest Rate</w:t>
      </w:r>
      <w:r w:rsidRPr="003324B7">
        <w:rPr>
          <w:spacing w:val="-3"/>
        </w:rPr>
        <w:t>:</w:t>
      </w:r>
      <w:r w:rsidRPr="003324B7">
        <w:rPr>
          <w:spacing w:val="-3"/>
        </w:rPr>
        <w:tab/>
        <w:t>6.0% per annum</w:t>
      </w:r>
    </w:p>
    <w:p w:rsidR="00FD509D" w:rsidRPr="003324B7" w:rsidRDefault="00FD509D" w:rsidP="007C7FFA">
      <w:pPr>
        <w:tabs>
          <w:tab w:val="left" w:pos="1701"/>
          <w:tab w:val="left" w:pos="5060"/>
        </w:tabs>
        <w:suppressAutoHyphens/>
        <w:ind w:left="720" w:hanging="720"/>
        <w:rPr>
          <w:spacing w:val="-3"/>
        </w:rPr>
      </w:pPr>
      <w:r>
        <w:rPr>
          <w:spacing w:val="-3"/>
        </w:rPr>
        <w:tab/>
      </w:r>
      <w:r>
        <w:rPr>
          <w:spacing w:val="-3"/>
        </w:rPr>
        <w:tab/>
        <w:t>L</w:t>
      </w:r>
      <w:r w:rsidRPr="003324B7">
        <w:rPr>
          <w:spacing w:val="-3"/>
        </w:rPr>
        <w:t>ong Term General Salary Increases:</w:t>
      </w:r>
      <w:r w:rsidRPr="003324B7">
        <w:rPr>
          <w:spacing w:val="-3"/>
        </w:rPr>
        <w:tab/>
        <w:t>4.0% per annum</w:t>
      </w:r>
    </w:p>
    <w:p w:rsidR="00FD509D" w:rsidRDefault="00FD509D" w:rsidP="007C7FFA">
      <w:pPr>
        <w:pStyle w:val="NoNumber"/>
        <w:ind w:left="1134"/>
      </w:pPr>
      <w:r w:rsidRPr="003324B7">
        <w:t>The</w:t>
      </w:r>
      <w:r w:rsidR="009104C9">
        <w:t xml:space="preserve">se assumptions represent a 2.0 per cent per annum </w:t>
      </w:r>
      <w:r w:rsidRPr="003324B7">
        <w:t>real rate of return over the rate of salary increases.</w:t>
      </w:r>
      <w:r>
        <w:t xml:space="preserve">  Th</w:t>
      </w:r>
      <w:r w:rsidR="006F20B1">
        <w:t xml:space="preserve">ese are the same assumptions as </w:t>
      </w:r>
      <w:r>
        <w:t>those used for other Commonwealth schemes.</w:t>
      </w:r>
      <w:r w:rsidR="00087E9C">
        <w:t xml:space="preserve"> Note that it is the gap between the two assumptions that will impact most on the estimates of the unfunded liability.</w:t>
      </w:r>
    </w:p>
    <w:p w:rsidR="00191D0D" w:rsidRDefault="00191D0D" w:rsidP="003B675F">
      <w:pPr>
        <w:pStyle w:val="BodyText"/>
        <w:numPr>
          <w:ilvl w:val="0"/>
          <w:numId w:val="0"/>
        </w:numPr>
        <w:rPr>
          <w:i/>
          <w:spacing w:val="-3"/>
        </w:rPr>
      </w:pPr>
      <w:r>
        <w:rPr>
          <w:i/>
          <w:spacing w:val="-3"/>
        </w:rPr>
        <w:t>Demographic assumptions</w:t>
      </w:r>
    </w:p>
    <w:p w:rsidR="0003272F" w:rsidRDefault="0003272F" w:rsidP="0047479E">
      <w:pPr>
        <w:pStyle w:val="BodyText"/>
      </w:pPr>
      <w:r>
        <w:t xml:space="preserve">Note that from a benefits perspective there is no difference between age retirement and resignation.  Accordingly, I have used the term resignation to refer to any exit from the scheme which does not give rise to a death or invalidity benefit. </w:t>
      </w:r>
    </w:p>
    <w:p w:rsidR="00FB6F4F" w:rsidRDefault="0047479E" w:rsidP="0047479E">
      <w:pPr>
        <w:pStyle w:val="BodyText"/>
      </w:pPr>
      <w:r>
        <w:t xml:space="preserve">Between 1 </w:t>
      </w:r>
      <w:r w:rsidR="00F760BF">
        <w:t>July 2011</w:t>
      </w:r>
      <w:r>
        <w:t xml:space="preserve"> </w:t>
      </w:r>
      <w:r w:rsidR="00862094">
        <w:t>and</w:t>
      </w:r>
      <w:r>
        <w:t xml:space="preserve"> 30 June 201</w:t>
      </w:r>
      <w:r w:rsidR="00F760BF">
        <w:t xml:space="preserve">4 there were three resignations. During </w:t>
      </w:r>
      <w:r w:rsidR="00D227AA">
        <w:t xml:space="preserve">this time there were no </w:t>
      </w:r>
      <w:r>
        <w:t>retirement</w:t>
      </w:r>
      <w:r w:rsidR="00D227AA">
        <w:t>s</w:t>
      </w:r>
      <w:r>
        <w:t xml:space="preserve"> due to invalidity</w:t>
      </w:r>
      <w:r w:rsidR="00862094">
        <w:t xml:space="preserve"> and</w:t>
      </w:r>
      <w:r w:rsidR="00D227AA">
        <w:t xml:space="preserve"> there were </w:t>
      </w:r>
      <w:r w:rsidR="00862094">
        <w:t xml:space="preserve">no deaths. </w:t>
      </w:r>
      <w:r w:rsidR="00AD3F59">
        <w:t xml:space="preserve">As at 1 </w:t>
      </w:r>
      <w:r w:rsidR="00D227AA">
        <w:t>July 2011</w:t>
      </w:r>
      <w:r w:rsidR="00AD3F59">
        <w:t xml:space="preserve">, there were </w:t>
      </w:r>
      <w:r w:rsidR="00D227AA">
        <w:t>61</w:t>
      </w:r>
      <w:r w:rsidR="00AD3F59">
        <w:t xml:space="preserve"> </w:t>
      </w:r>
      <w:r w:rsidR="00D227AA">
        <w:t>Federal Circuit Court of Australia Judges, and as at 30 June 2014</w:t>
      </w:r>
      <w:r w:rsidR="00AD3F59">
        <w:t xml:space="preserve"> there were 6</w:t>
      </w:r>
      <w:r w:rsidR="00D227AA">
        <w:t>5</w:t>
      </w:r>
      <w:r w:rsidR="00AD3F59">
        <w:t xml:space="preserve"> </w:t>
      </w:r>
      <w:r w:rsidR="00D227AA">
        <w:t>Federal Circuit Court of Australia Judges</w:t>
      </w:r>
      <w:r w:rsidR="00AD3F59">
        <w:t>.</w:t>
      </w:r>
      <w:r w:rsidR="00FB6F4F">
        <w:t xml:space="preserve"> </w:t>
      </w:r>
    </w:p>
    <w:p w:rsidR="005B686D" w:rsidRDefault="00825C8E" w:rsidP="005B686D">
      <w:pPr>
        <w:pStyle w:val="BodyText"/>
      </w:pPr>
      <w:r>
        <w:lastRenderedPageBreak/>
        <w:t>T</w:t>
      </w:r>
      <w:r w:rsidR="008E18D3">
        <w:t xml:space="preserve">he </w:t>
      </w:r>
      <w:r>
        <w:t xml:space="preserve">limited </w:t>
      </w:r>
      <w:r w:rsidR="008E18D3">
        <w:t xml:space="preserve">experience </w:t>
      </w:r>
      <w:r>
        <w:t xml:space="preserve">available </w:t>
      </w:r>
      <w:r w:rsidR="008E18D3">
        <w:t xml:space="preserve">suggests that resignation rates are relatively low for Federal </w:t>
      </w:r>
      <w:r w:rsidR="00667A91">
        <w:t>Circuit Court of Australia Judges</w:t>
      </w:r>
      <w:r w:rsidR="008E18D3">
        <w:t xml:space="preserve">. As such, </w:t>
      </w:r>
      <w:r w:rsidR="00FB6F4F">
        <w:t xml:space="preserve">we do not believe it is unreasonable to assume a low uniform resignation rate for </w:t>
      </w:r>
      <w:r w:rsidR="00667A91">
        <w:t>Judges</w:t>
      </w:r>
      <w:r w:rsidR="008E18D3">
        <w:t xml:space="preserve"> </w:t>
      </w:r>
      <w:r>
        <w:t xml:space="preserve">aged less than 55 years, </w:t>
      </w:r>
      <w:r w:rsidR="008E18D3">
        <w:t xml:space="preserve">and then </w:t>
      </w:r>
      <w:r w:rsidRPr="002D739E">
        <w:t xml:space="preserve">assume </w:t>
      </w:r>
      <w:r w:rsidR="008E18D3" w:rsidRPr="002D739E">
        <w:t>increasing rate</w:t>
      </w:r>
      <w:r w:rsidRPr="002D739E">
        <w:t>s</w:t>
      </w:r>
      <w:r w:rsidR="008E18D3" w:rsidRPr="002D739E">
        <w:t xml:space="preserve"> of resignation </w:t>
      </w:r>
      <w:r w:rsidRPr="002D739E">
        <w:t xml:space="preserve">up to </w:t>
      </w:r>
      <w:r w:rsidR="008E18D3" w:rsidRPr="002D739E">
        <w:t>age 70.</w:t>
      </w:r>
      <w:r w:rsidRPr="002D739E">
        <w:t xml:space="preserve">  </w:t>
      </w:r>
      <w:r w:rsidR="00667A91">
        <w:t>On attaining age</w:t>
      </w:r>
      <w:r w:rsidR="0041798F" w:rsidRPr="005B686D">
        <w:t xml:space="preserve"> 70</w:t>
      </w:r>
      <w:r w:rsidR="00667A91">
        <w:t>, a Federal Circuit Court of Australia Judge must retire</w:t>
      </w:r>
      <w:r w:rsidR="0041798F" w:rsidRPr="005B686D">
        <w:t xml:space="preserve">. </w:t>
      </w:r>
      <w:r w:rsidRPr="005B686D">
        <w:t xml:space="preserve"> </w:t>
      </w:r>
    </w:p>
    <w:p w:rsidR="00E214AD" w:rsidRPr="00E214AD" w:rsidRDefault="00E214AD" w:rsidP="00F51E6B">
      <w:pPr>
        <w:pStyle w:val="BodyText"/>
      </w:pPr>
      <w:r>
        <w:rPr>
          <w:rFonts w:cs="Arial"/>
        </w:rPr>
        <w:t>The costs of the Scheme are</w:t>
      </w:r>
      <w:r w:rsidR="00F51E6B">
        <w:rPr>
          <w:rFonts w:cs="Arial"/>
        </w:rPr>
        <w:t xml:space="preserve"> sensitive to the invalidity rates assumed.  Establishing a realistic set of invalidity assumptions is difficul</w:t>
      </w:r>
      <w:r w:rsidR="000238BB">
        <w:rPr>
          <w:rFonts w:cs="Arial"/>
        </w:rPr>
        <w:t>t for a number of reasons. The main reas</w:t>
      </w:r>
      <w:r w:rsidR="006723F1">
        <w:rPr>
          <w:rFonts w:cs="Arial"/>
        </w:rPr>
        <w:t>on is that the small numbers of members</w:t>
      </w:r>
      <w:r w:rsidR="000238BB">
        <w:rPr>
          <w:rFonts w:cs="Arial"/>
        </w:rPr>
        <w:t xml:space="preserve"> of the Scheme coupled with invalidity retirement being a low probability exit </w:t>
      </w:r>
      <w:r w:rsidR="007618E4">
        <w:rPr>
          <w:rFonts w:cs="Arial"/>
        </w:rPr>
        <w:t xml:space="preserve">event </w:t>
      </w:r>
      <w:r w:rsidR="006723F1">
        <w:rPr>
          <w:rFonts w:cs="Arial"/>
        </w:rPr>
        <w:t>results in few exits for analysis.</w:t>
      </w:r>
      <w:r w:rsidR="000238BB">
        <w:rPr>
          <w:rFonts w:cs="Arial"/>
        </w:rPr>
        <w:t xml:space="preserve"> This is evidenced by the fact that</w:t>
      </w:r>
      <w:r w:rsidR="00F51E6B">
        <w:rPr>
          <w:rFonts w:cs="Arial"/>
        </w:rPr>
        <w:t xml:space="preserve"> there has only been one invalidity retirement </w:t>
      </w:r>
      <w:r w:rsidR="000238BB">
        <w:rPr>
          <w:rFonts w:cs="Arial"/>
        </w:rPr>
        <w:t xml:space="preserve">from the Scheme </w:t>
      </w:r>
      <w:r w:rsidR="006723F1">
        <w:rPr>
          <w:rFonts w:cs="Arial"/>
        </w:rPr>
        <w:t>since its establishment. The absence of</w:t>
      </w:r>
      <w:r w:rsidR="00F51E6B">
        <w:rPr>
          <w:rFonts w:cs="Arial"/>
        </w:rPr>
        <w:t xml:space="preserve"> meaningful </w:t>
      </w:r>
      <w:r w:rsidR="006723F1">
        <w:rPr>
          <w:rFonts w:cs="Arial"/>
        </w:rPr>
        <w:t xml:space="preserve">scheme </w:t>
      </w:r>
      <w:r w:rsidR="00F51E6B">
        <w:rPr>
          <w:rFonts w:cs="Arial"/>
        </w:rPr>
        <w:t>experi</w:t>
      </w:r>
      <w:r w:rsidR="006723F1">
        <w:rPr>
          <w:rFonts w:cs="Arial"/>
        </w:rPr>
        <w:t>ence means that we need to rely on external information in setting invalidity assumptions</w:t>
      </w:r>
      <w:r w:rsidR="00F51E6B">
        <w:rPr>
          <w:rFonts w:cs="Arial"/>
        </w:rPr>
        <w:t xml:space="preserve">. </w:t>
      </w:r>
    </w:p>
    <w:p w:rsidR="00F51E6B" w:rsidRPr="00E214AD" w:rsidRDefault="00F51E6B" w:rsidP="00F51E6B">
      <w:pPr>
        <w:pStyle w:val="BodyText"/>
      </w:pPr>
      <w:r>
        <w:rPr>
          <w:rFonts w:cs="Arial"/>
        </w:rPr>
        <w:t>In these circumstances, it would be normal to seek to base the valuation assumptions on those adopted for other comparable schemes</w:t>
      </w:r>
      <w:r w:rsidR="000238BB">
        <w:rPr>
          <w:rFonts w:cs="Arial"/>
        </w:rPr>
        <w:t xml:space="preserve"> with larger memberships and more invalidity exits.</w:t>
      </w:r>
      <w:r w:rsidR="007618E4">
        <w:rPr>
          <w:rFonts w:cs="Arial"/>
        </w:rPr>
        <w:t xml:space="preserve"> Given the similarity of the working conditions of Federal </w:t>
      </w:r>
      <w:r w:rsidR="00C135F6">
        <w:rPr>
          <w:rFonts w:cs="Arial"/>
        </w:rPr>
        <w:t>Circuit Court of Australia Judges</w:t>
      </w:r>
      <w:r w:rsidR="007618E4">
        <w:rPr>
          <w:rFonts w:cs="Arial"/>
        </w:rPr>
        <w:t xml:space="preserve"> and the Commonwealth judiciary, it would make sense to base the Federal </w:t>
      </w:r>
      <w:r w:rsidR="00C135F6">
        <w:rPr>
          <w:rFonts w:cs="Arial"/>
        </w:rPr>
        <w:t>Circuit Court</w:t>
      </w:r>
      <w:r w:rsidR="007618E4">
        <w:rPr>
          <w:rFonts w:cs="Arial"/>
        </w:rPr>
        <w:t xml:space="preserve"> assumptions on those used for the Judges’ </w:t>
      </w:r>
      <w:r w:rsidR="006723F1">
        <w:rPr>
          <w:rFonts w:cs="Arial"/>
        </w:rPr>
        <w:t xml:space="preserve">Pension Scheme. However, in the Federal </w:t>
      </w:r>
      <w:r w:rsidR="00C135F6">
        <w:rPr>
          <w:rFonts w:cs="Arial"/>
        </w:rPr>
        <w:t>Circuit Court of Australia</w:t>
      </w:r>
      <w:r w:rsidR="006723F1">
        <w:rPr>
          <w:rFonts w:cs="Arial"/>
        </w:rPr>
        <w:t xml:space="preserve"> </w:t>
      </w:r>
      <w:r w:rsidR="007618E4">
        <w:rPr>
          <w:rFonts w:cs="Arial"/>
        </w:rPr>
        <w:t>Scheme, the invalidity retirement benefit is higher than the resignation benefit at all ages. In the Judges’ Pension Scheme</w:t>
      </w:r>
      <w:r w:rsidR="00E214AD">
        <w:rPr>
          <w:rFonts w:cs="Arial"/>
        </w:rPr>
        <w:t>, there is no difference between the invalidity retirement benefit and the resignation benefit once eligibility for the retirement pension benefit is attained.</w:t>
      </w:r>
      <w:r w:rsidR="007618E4">
        <w:rPr>
          <w:rFonts w:cs="Arial"/>
        </w:rPr>
        <w:t xml:space="preserve"> </w:t>
      </w:r>
      <w:r w:rsidR="00E214AD">
        <w:rPr>
          <w:rFonts w:cs="Arial"/>
        </w:rPr>
        <w:t>Commonwealth judges are eligible to receive a full pension on, or after, age 60 with a minimum of 10 years’ service. Hence, some “</w:t>
      </w:r>
      <w:r w:rsidR="00254FD5">
        <w:rPr>
          <w:rFonts w:cs="Arial"/>
        </w:rPr>
        <w:t>standard age</w:t>
      </w:r>
      <w:r w:rsidR="00E214AD">
        <w:rPr>
          <w:rFonts w:cs="Arial"/>
        </w:rPr>
        <w:t>” retirements from the Judges’ Pension Scheme after age 60 may be “de facto” invalidity retirements as the</w:t>
      </w:r>
      <w:r w:rsidR="00E93049">
        <w:rPr>
          <w:rFonts w:cs="Arial"/>
        </w:rPr>
        <w:t xml:space="preserve">re is nothing to be gained by </w:t>
      </w:r>
      <w:r w:rsidR="00E214AD">
        <w:rPr>
          <w:rFonts w:cs="Arial"/>
        </w:rPr>
        <w:t>these judges applying for invalidity retirement.</w:t>
      </w:r>
    </w:p>
    <w:p w:rsidR="00E214AD" w:rsidRPr="00771847" w:rsidRDefault="00E214AD" w:rsidP="00F51E6B">
      <w:pPr>
        <w:pStyle w:val="BodyText"/>
      </w:pPr>
      <w:r>
        <w:rPr>
          <w:rFonts w:cs="Arial"/>
        </w:rPr>
        <w:t xml:space="preserve">The invalidity element of </w:t>
      </w:r>
      <w:r w:rsidR="00E93049">
        <w:rPr>
          <w:rFonts w:cs="Arial"/>
        </w:rPr>
        <w:t>the benefit design for the Scheme where the invalidity retirement benefit is higher than the resignation benefit at all ages is somewhat unusual. This increases the risk that simply adopting a set of invalidity retirement rate assumptions used for a different scheme might result in an underestimate of the Scheme’s cost. Nonetheless, we have decided, on balance, to assume that the rates of invalidity retirements from the Scheme will be the same as those adopted for the Judges’ Pension Scheme</w:t>
      </w:r>
      <w:r w:rsidR="00867C15">
        <w:rPr>
          <w:rFonts w:cs="Arial"/>
        </w:rPr>
        <w:t xml:space="preserve"> as at 30 June 2014</w:t>
      </w:r>
      <w:r w:rsidR="00E93049">
        <w:rPr>
          <w:rFonts w:cs="Arial"/>
        </w:rPr>
        <w:t>.</w:t>
      </w:r>
    </w:p>
    <w:p w:rsidR="00771847" w:rsidRDefault="00771847" w:rsidP="00F51E6B">
      <w:pPr>
        <w:pStyle w:val="BodyText"/>
      </w:pPr>
      <w:r>
        <w:rPr>
          <w:rFonts w:cs="Arial"/>
        </w:rPr>
        <w:t>In the light of the sensitivity of the costs of the Scheme to the invalidity rates assumed and the inherent uncertainty about the rates themselves, particularly those for older ages, we have illustrated the sensitivity of the cost estimates to the assumed invalidity rates in section 9.</w:t>
      </w:r>
    </w:p>
    <w:p w:rsidR="00066F54" w:rsidRPr="005B686D" w:rsidRDefault="001C08F2" w:rsidP="009E7285">
      <w:pPr>
        <w:pStyle w:val="BodyText"/>
      </w:pPr>
      <w:r w:rsidRPr="005B686D">
        <w:t>There were no deaths</w:t>
      </w:r>
      <w:r w:rsidR="005A68B6" w:rsidRPr="005B686D">
        <w:t xml:space="preserve"> among serving Federal </w:t>
      </w:r>
      <w:r w:rsidR="00D6458D">
        <w:t>Circuit Court of Australia Judges</w:t>
      </w:r>
      <w:r w:rsidR="005A68B6" w:rsidRPr="005B686D">
        <w:t xml:space="preserve"> </w:t>
      </w:r>
      <w:r w:rsidR="009E7285" w:rsidRPr="005B686D">
        <w:t>or invalid</w:t>
      </w:r>
      <w:r w:rsidR="003575E5" w:rsidRPr="005B686D">
        <w:t xml:space="preserve"> pensioners </w:t>
      </w:r>
      <w:r w:rsidR="005A68B6" w:rsidRPr="005B686D">
        <w:t xml:space="preserve">between 1 </w:t>
      </w:r>
      <w:r w:rsidR="00D6458D">
        <w:t>July</w:t>
      </w:r>
      <w:r w:rsidR="005A68B6" w:rsidRPr="005B686D">
        <w:t xml:space="preserve"> </w:t>
      </w:r>
      <w:r w:rsidR="00D6458D">
        <w:t>2011</w:t>
      </w:r>
      <w:r w:rsidR="00726C54" w:rsidRPr="005B686D">
        <w:t xml:space="preserve"> a</w:t>
      </w:r>
      <w:r w:rsidR="00D6458D">
        <w:t>nd 30 June 2014</w:t>
      </w:r>
      <w:r w:rsidRPr="005B686D">
        <w:t xml:space="preserve">. </w:t>
      </w:r>
      <w:r w:rsidR="005A68B6" w:rsidRPr="005B686D">
        <w:t xml:space="preserve">Given this lack of </w:t>
      </w:r>
      <w:r w:rsidR="005A68B6" w:rsidRPr="005B686D">
        <w:lastRenderedPageBreak/>
        <w:t xml:space="preserve">data, </w:t>
      </w:r>
      <w:r w:rsidR="00726C54" w:rsidRPr="005B686D">
        <w:t>t</w:t>
      </w:r>
      <w:r w:rsidR="00B13C73" w:rsidRPr="005B686D">
        <w:t xml:space="preserve">he </w:t>
      </w:r>
      <w:r w:rsidR="003B675F" w:rsidRPr="005B686D">
        <w:t xml:space="preserve">mortality </w:t>
      </w:r>
      <w:r w:rsidR="009E7285" w:rsidRPr="005B686D">
        <w:t xml:space="preserve">rates </w:t>
      </w:r>
      <w:r w:rsidR="00726C54" w:rsidRPr="005B686D">
        <w:t xml:space="preserve">of serving Federal </w:t>
      </w:r>
      <w:r w:rsidR="00D6458D">
        <w:t>Circuit Court Judges</w:t>
      </w:r>
      <w:r w:rsidR="00726C54" w:rsidRPr="005B686D">
        <w:t xml:space="preserve"> </w:t>
      </w:r>
      <w:r w:rsidR="009E7285" w:rsidRPr="005B686D">
        <w:t xml:space="preserve">and invalid pensioners are </w:t>
      </w:r>
      <w:r w:rsidR="00726C54" w:rsidRPr="005B686D">
        <w:t>assumed to be the same</w:t>
      </w:r>
      <w:r w:rsidR="009E7285" w:rsidRPr="005B686D">
        <w:t xml:space="preserve"> as those adopted </w:t>
      </w:r>
      <w:r w:rsidR="00B13C73" w:rsidRPr="005B686D">
        <w:t xml:space="preserve">for </w:t>
      </w:r>
      <w:r w:rsidR="009E7285" w:rsidRPr="005B686D">
        <w:t xml:space="preserve">serving Judges and </w:t>
      </w:r>
      <w:r w:rsidR="00B13C73" w:rsidRPr="005B686D">
        <w:t>invalid pensioners</w:t>
      </w:r>
      <w:r w:rsidR="00CF22AE" w:rsidRPr="005B686D">
        <w:t xml:space="preserve"> </w:t>
      </w:r>
      <w:r w:rsidR="003B675F" w:rsidRPr="005B686D">
        <w:t xml:space="preserve">for the </w:t>
      </w:r>
      <w:r w:rsidR="00D6458D">
        <w:t xml:space="preserve">2014 </w:t>
      </w:r>
      <w:r w:rsidR="00D6458D">
        <w:rPr>
          <w:rFonts w:cs="Arial"/>
        </w:rPr>
        <w:t>Long-</w:t>
      </w:r>
      <w:r w:rsidR="00726C54" w:rsidRPr="005B686D">
        <w:rPr>
          <w:rFonts w:cs="Arial"/>
        </w:rPr>
        <w:t>Term Cost Report on the Judges’ Pension Scheme</w:t>
      </w:r>
      <w:r w:rsidR="00E16D36">
        <w:rPr>
          <w:rFonts w:cs="Arial"/>
        </w:rPr>
        <w:t xml:space="preserve"> respectively</w:t>
      </w:r>
      <w:r w:rsidR="00B21DAC">
        <w:rPr>
          <w:rFonts w:cs="Arial"/>
        </w:rPr>
        <w:t>.</w:t>
      </w:r>
    </w:p>
    <w:p w:rsidR="00066F54" w:rsidRPr="00066F54" w:rsidRDefault="00A013E8" w:rsidP="009E7285">
      <w:pPr>
        <w:pStyle w:val="BodyText"/>
      </w:pPr>
      <w:r w:rsidRPr="005B686D">
        <w:rPr>
          <w:rFonts w:cs="Arial"/>
        </w:rPr>
        <w:t xml:space="preserve">We assume that all </w:t>
      </w:r>
      <w:r w:rsidR="00D6458D">
        <w:rPr>
          <w:rFonts w:cs="Arial"/>
        </w:rPr>
        <w:t>Judges</w:t>
      </w:r>
      <w:r w:rsidRPr="005B686D">
        <w:rPr>
          <w:rFonts w:cs="Arial"/>
        </w:rPr>
        <w:t xml:space="preserve"> who die, re</w:t>
      </w:r>
      <w:r w:rsidR="001800F6" w:rsidRPr="005B686D">
        <w:rPr>
          <w:rFonts w:cs="Arial"/>
        </w:rPr>
        <w:t>sign, or re</w:t>
      </w:r>
      <w:r w:rsidRPr="005B686D">
        <w:rPr>
          <w:rFonts w:cs="Arial"/>
        </w:rPr>
        <w:t>tire</w:t>
      </w:r>
      <w:r>
        <w:rPr>
          <w:rFonts w:cs="Arial"/>
        </w:rPr>
        <w:t xml:space="preserve"> on invalidity grounds </w:t>
      </w:r>
      <w:r w:rsidR="001800F6">
        <w:rPr>
          <w:rFonts w:cs="Arial"/>
        </w:rPr>
        <w:t>a</w:t>
      </w:r>
      <w:r>
        <w:rPr>
          <w:rFonts w:cs="Arial"/>
        </w:rPr>
        <w:t xml:space="preserve">re replaced by new entrants in to the Scheme. </w:t>
      </w:r>
      <w:r w:rsidR="003071A4">
        <w:rPr>
          <w:rFonts w:cs="Arial"/>
        </w:rPr>
        <w:t xml:space="preserve">Using </w:t>
      </w:r>
      <w:r w:rsidR="001800F6">
        <w:rPr>
          <w:rFonts w:cs="Arial"/>
        </w:rPr>
        <w:t xml:space="preserve">the observed </w:t>
      </w:r>
      <w:r w:rsidR="003071A4">
        <w:rPr>
          <w:rFonts w:cs="Arial"/>
        </w:rPr>
        <w:t xml:space="preserve">ages at entry of all Federal </w:t>
      </w:r>
      <w:r w:rsidR="00D6458D">
        <w:rPr>
          <w:rFonts w:cs="Arial"/>
        </w:rPr>
        <w:t>Circuit Court Judges</w:t>
      </w:r>
      <w:r w:rsidR="003071A4">
        <w:rPr>
          <w:rFonts w:cs="Arial"/>
        </w:rPr>
        <w:t xml:space="preserve"> from June 2000 to </w:t>
      </w:r>
      <w:r w:rsidR="00D6458D">
        <w:rPr>
          <w:rFonts w:cs="Arial"/>
        </w:rPr>
        <w:t>September 2013</w:t>
      </w:r>
      <w:r w:rsidR="003071A4">
        <w:rPr>
          <w:rFonts w:cs="Arial"/>
        </w:rPr>
        <w:t xml:space="preserve">, we have </w:t>
      </w:r>
      <w:r w:rsidR="001800F6">
        <w:rPr>
          <w:rFonts w:cs="Arial"/>
        </w:rPr>
        <w:t>made assumptions on the new entrant age distribution from ages 35 to 69.</w:t>
      </w:r>
      <w:r w:rsidR="00B21DAC">
        <w:rPr>
          <w:rFonts w:cs="Arial"/>
        </w:rPr>
        <w:t xml:space="preserve">  Detailed assumptions are set out in Appendix A. </w:t>
      </w:r>
      <w:r w:rsidR="00D6458D">
        <w:rPr>
          <w:rFonts w:cs="Arial"/>
        </w:rPr>
        <w:t>These entry age assumptions are the same as those used in the last long-term cost report.</w:t>
      </w:r>
    </w:p>
    <w:p w:rsidR="000F4CBD" w:rsidRDefault="00B13C73" w:rsidP="00B13C73">
      <w:pPr>
        <w:pStyle w:val="BodyText"/>
      </w:pPr>
      <w:r>
        <w:rPr>
          <w:rFonts w:cs="Arial"/>
        </w:rPr>
        <w:t xml:space="preserve">We have assumed the same </w:t>
      </w:r>
      <w:r w:rsidR="00E16D36">
        <w:rPr>
          <w:rFonts w:cs="Arial"/>
        </w:rPr>
        <w:t>proportions married as were</w:t>
      </w:r>
      <w:r>
        <w:rPr>
          <w:rFonts w:cs="Arial"/>
        </w:rPr>
        <w:t xml:space="preserve"> </w:t>
      </w:r>
      <w:r>
        <w:t>adopted for the l</w:t>
      </w:r>
      <w:r w:rsidR="00D6458D">
        <w:t>ong-</w:t>
      </w:r>
      <w:r>
        <w:t>term cost report on the Judges’ P</w:t>
      </w:r>
      <w:r w:rsidR="00D6458D">
        <w:t>ension Scheme as at 30 June 2014</w:t>
      </w:r>
      <w:r>
        <w:t>.</w:t>
      </w:r>
      <w:bookmarkStart w:id="11" w:name="_Toc229370573"/>
    </w:p>
    <w:p w:rsidR="00AA2C15" w:rsidRDefault="000F4CBD" w:rsidP="00D356F8">
      <w:pPr>
        <w:pStyle w:val="Heading2"/>
      </w:pPr>
      <w:r>
        <w:br w:type="page"/>
      </w:r>
      <w:bookmarkStart w:id="12" w:name="_Toc328130129"/>
      <w:bookmarkEnd w:id="11"/>
      <w:r w:rsidR="002D739E" w:rsidRPr="009612B8">
        <w:lastRenderedPageBreak/>
        <w:t>PROJECTION</w:t>
      </w:r>
      <w:r w:rsidR="002D739E">
        <w:t xml:space="preserve"> OF PREMIUM COSTS</w:t>
      </w:r>
      <w:bookmarkEnd w:id="12"/>
      <w:r w:rsidR="002D739E">
        <w:t xml:space="preserve"> </w:t>
      </w:r>
    </w:p>
    <w:p w:rsidR="0065618C" w:rsidRPr="00A017EE" w:rsidRDefault="00AA2C15" w:rsidP="00730FA5">
      <w:pPr>
        <w:pStyle w:val="BodyText"/>
        <w:rPr>
          <w:rFonts w:cs="Arial"/>
        </w:rPr>
      </w:pPr>
      <w:r w:rsidRPr="0065618C">
        <w:rPr>
          <w:rFonts w:cs="Arial"/>
        </w:rPr>
        <w:t xml:space="preserve">The premium cost of the Scheme represents the estimated present value of the cost of </w:t>
      </w:r>
      <w:r w:rsidR="007E12FA">
        <w:rPr>
          <w:rFonts w:cs="Arial"/>
        </w:rPr>
        <w:t xml:space="preserve">all future </w:t>
      </w:r>
      <w:r w:rsidR="00AD5A72" w:rsidRPr="0065618C">
        <w:rPr>
          <w:rFonts w:cs="Arial"/>
        </w:rPr>
        <w:t>payments</w:t>
      </w:r>
      <w:r w:rsidRPr="0065618C">
        <w:rPr>
          <w:rFonts w:cs="Arial"/>
        </w:rPr>
        <w:t xml:space="preserve"> arising from </w:t>
      </w:r>
      <w:r w:rsidR="00AD5A72" w:rsidRPr="0065618C">
        <w:rPr>
          <w:rFonts w:cs="Arial"/>
        </w:rPr>
        <w:t xml:space="preserve">deaths and invalidity retirements </w:t>
      </w:r>
      <w:r w:rsidRPr="0065618C">
        <w:rPr>
          <w:rFonts w:cs="Arial"/>
        </w:rPr>
        <w:t xml:space="preserve">which will be </w:t>
      </w:r>
      <w:r w:rsidR="00AD5A72" w:rsidRPr="0065618C">
        <w:rPr>
          <w:rFonts w:cs="Arial"/>
        </w:rPr>
        <w:t>expected</w:t>
      </w:r>
      <w:r w:rsidRPr="0065618C">
        <w:rPr>
          <w:rFonts w:cs="Arial"/>
        </w:rPr>
        <w:t xml:space="preserve"> during </w:t>
      </w:r>
      <w:r w:rsidR="0065618C" w:rsidRPr="0065618C">
        <w:rPr>
          <w:rFonts w:cs="Arial"/>
        </w:rPr>
        <w:t>each projection year</w:t>
      </w:r>
      <w:r w:rsidRPr="0065618C">
        <w:rPr>
          <w:rFonts w:cs="Arial"/>
        </w:rPr>
        <w:t xml:space="preserve">. That is, it is the amount which, if invested, would, together with assumed interest, be expected to be sufficient to meet the cost </w:t>
      </w:r>
      <w:r w:rsidR="007E12FA">
        <w:rPr>
          <w:rFonts w:cs="Arial"/>
        </w:rPr>
        <w:t>of all payments in respect of the</w:t>
      </w:r>
      <w:r w:rsidRPr="0065618C">
        <w:rPr>
          <w:rFonts w:cs="Arial"/>
        </w:rPr>
        <w:t xml:space="preserve"> claims</w:t>
      </w:r>
      <w:r w:rsidR="007E12FA">
        <w:rPr>
          <w:rFonts w:cs="Arial"/>
        </w:rPr>
        <w:t xml:space="preserve"> for that projection year</w:t>
      </w:r>
      <w:r w:rsidRPr="0065618C">
        <w:rPr>
          <w:rFonts w:cs="Arial"/>
        </w:rPr>
        <w:t>.</w:t>
      </w:r>
      <w:r w:rsidR="004B5C58" w:rsidRPr="0065618C">
        <w:rPr>
          <w:rFonts w:cs="Arial"/>
        </w:rPr>
        <w:t xml:space="preserve">  The premium costs are also represented as a </w:t>
      </w:r>
      <w:r w:rsidR="004B5C58" w:rsidRPr="00A017EE">
        <w:rPr>
          <w:rFonts w:cs="Arial"/>
        </w:rPr>
        <w:t>percentage of</w:t>
      </w:r>
      <w:r w:rsidR="0065618C" w:rsidRPr="00A017EE">
        <w:rPr>
          <w:rFonts w:cs="Arial"/>
        </w:rPr>
        <w:t xml:space="preserve"> annual salaries for each year.</w:t>
      </w:r>
      <w:r w:rsidR="00E16D36">
        <w:rPr>
          <w:rFonts w:cs="Arial"/>
        </w:rPr>
        <w:t xml:space="preserve"> It should be noted that the dollar costs given are in nominal dollars an</w:t>
      </w:r>
      <w:r w:rsidR="006A7CA1">
        <w:rPr>
          <w:rFonts w:cs="Arial"/>
        </w:rPr>
        <w:t>d have not been adjusted to 2014</w:t>
      </w:r>
      <w:r w:rsidR="00E16D36">
        <w:rPr>
          <w:rFonts w:cs="Arial"/>
        </w:rPr>
        <w:t xml:space="preserve"> dollars.</w:t>
      </w:r>
    </w:p>
    <w:p w:rsidR="00860A8B" w:rsidRPr="00A017EE" w:rsidRDefault="00AD5A72" w:rsidP="00730FA5">
      <w:pPr>
        <w:pStyle w:val="BodyText"/>
        <w:rPr>
          <w:rFonts w:cs="Arial"/>
        </w:rPr>
      </w:pPr>
      <w:r w:rsidRPr="00A017EE">
        <w:rPr>
          <w:rFonts w:cs="Arial"/>
        </w:rPr>
        <w:t xml:space="preserve">Based on the data supplied and on the assumptions made, we have calculated the </w:t>
      </w:r>
      <w:r w:rsidR="00730FA5" w:rsidRPr="00A017EE">
        <w:rPr>
          <w:rFonts w:cs="Arial"/>
        </w:rPr>
        <w:t>premium costs,</w:t>
      </w:r>
      <w:r w:rsidRPr="00A017EE">
        <w:rPr>
          <w:rFonts w:cs="Arial"/>
        </w:rPr>
        <w:t xml:space="preserve"> as at </w:t>
      </w:r>
      <w:r w:rsidR="006A7CA1">
        <w:rPr>
          <w:rFonts w:cs="Arial"/>
          <w:color w:val="000000"/>
        </w:rPr>
        <w:t>30 June 2014</w:t>
      </w:r>
      <w:r w:rsidR="00730FA5" w:rsidRPr="00A017EE">
        <w:rPr>
          <w:rFonts w:cs="Arial"/>
          <w:color w:val="000000"/>
        </w:rPr>
        <w:t>,</w:t>
      </w:r>
      <w:r w:rsidRPr="00A017EE">
        <w:rPr>
          <w:rFonts w:cs="Arial"/>
          <w:color w:val="000000"/>
        </w:rPr>
        <w:t xml:space="preserve"> to be</w:t>
      </w:r>
      <w:r w:rsidR="00860A8B" w:rsidRPr="00A017EE">
        <w:rPr>
          <w:rFonts w:cs="Arial"/>
          <w:color w:val="000000"/>
        </w:rPr>
        <w:t xml:space="preserve"> </w:t>
      </w:r>
      <w:r w:rsidR="00730FA5" w:rsidRPr="00A017EE">
        <w:rPr>
          <w:rFonts w:cs="Arial"/>
          <w:color w:val="000000"/>
        </w:rPr>
        <w:t xml:space="preserve">around </w:t>
      </w:r>
      <w:r w:rsidRPr="00A017EE">
        <w:rPr>
          <w:rFonts w:cs="Arial"/>
          <w:color w:val="000000"/>
        </w:rPr>
        <w:t>$</w:t>
      </w:r>
      <w:r w:rsidR="006A7CA1">
        <w:rPr>
          <w:rFonts w:cs="Arial"/>
          <w:color w:val="000000"/>
        </w:rPr>
        <w:t>608,000 in 2014-15</w:t>
      </w:r>
      <w:r w:rsidR="00730FA5" w:rsidRPr="00A017EE">
        <w:rPr>
          <w:rFonts w:cs="Arial"/>
          <w:color w:val="000000"/>
        </w:rPr>
        <w:t xml:space="preserve">, which equates </w:t>
      </w:r>
      <w:r w:rsidR="00A43973" w:rsidRPr="00A017EE">
        <w:rPr>
          <w:rFonts w:cs="Arial"/>
          <w:color w:val="000000"/>
        </w:rPr>
        <w:t xml:space="preserve">to </w:t>
      </w:r>
      <w:r w:rsidR="00D766C4">
        <w:rPr>
          <w:rFonts w:cs="Arial"/>
          <w:color w:val="000000"/>
        </w:rPr>
        <w:t>2</w:t>
      </w:r>
      <w:r w:rsidR="00A43973" w:rsidRPr="00A017EE">
        <w:rPr>
          <w:rFonts w:cs="Arial"/>
          <w:color w:val="000000"/>
        </w:rPr>
        <w:t>.</w:t>
      </w:r>
      <w:r w:rsidR="00C40498">
        <w:rPr>
          <w:rFonts w:cs="Arial"/>
          <w:color w:val="000000"/>
        </w:rPr>
        <w:t xml:space="preserve">6 per cent </w:t>
      </w:r>
      <w:r w:rsidR="00836D29" w:rsidRPr="00A017EE">
        <w:rPr>
          <w:rFonts w:cs="Arial"/>
          <w:color w:val="000000"/>
        </w:rPr>
        <w:t xml:space="preserve">total </w:t>
      </w:r>
      <w:r w:rsidR="00A43973" w:rsidRPr="00A017EE">
        <w:rPr>
          <w:rFonts w:cs="Arial"/>
          <w:color w:val="000000"/>
        </w:rPr>
        <w:t>salaries.</w:t>
      </w:r>
      <w:r w:rsidR="00D766C4">
        <w:rPr>
          <w:rFonts w:cs="Arial"/>
          <w:color w:val="000000"/>
        </w:rPr>
        <w:t xml:space="preserve">  </w:t>
      </w:r>
      <w:r w:rsidR="00A43973" w:rsidRPr="00A017EE">
        <w:rPr>
          <w:rFonts w:cs="Arial"/>
        </w:rPr>
        <w:t xml:space="preserve">The Table below shows the estimated premium costs for each of the next twenty years. </w:t>
      </w:r>
      <w:r w:rsidR="00A43973" w:rsidRPr="00A017EE">
        <w:rPr>
          <w:rFonts w:cs="Arial"/>
          <w:color w:val="000000"/>
        </w:rPr>
        <w:t xml:space="preserve"> </w:t>
      </w:r>
      <w:r w:rsidR="00A44392" w:rsidRPr="00A017EE">
        <w:rPr>
          <w:rFonts w:cs="Arial"/>
          <w:color w:val="000000"/>
        </w:rPr>
        <w:t xml:space="preserve">Premium costs </w:t>
      </w:r>
      <w:r w:rsidR="00B77D44" w:rsidRPr="00A017EE">
        <w:rPr>
          <w:rFonts w:cs="Arial"/>
          <w:color w:val="000000"/>
        </w:rPr>
        <w:t xml:space="preserve">are estimated to </w:t>
      </w:r>
      <w:r w:rsidR="00C40498">
        <w:rPr>
          <w:rFonts w:cs="Arial"/>
          <w:color w:val="000000"/>
        </w:rPr>
        <w:t>remain</w:t>
      </w:r>
      <w:r w:rsidR="00143A73" w:rsidRPr="00A017EE">
        <w:rPr>
          <w:rFonts w:cs="Arial"/>
          <w:color w:val="000000"/>
        </w:rPr>
        <w:t xml:space="preserve"> </w:t>
      </w:r>
      <w:r w:rsidR="00C40498">
        <w:rPr>
          <w:rFonts w:cs="Arial"/>
          <w:color w:val="000000"/>
        </w:rPr>
        <w:t xml:space="preserve">around 2.6 per cent </w:t>
      </w:r>
      <w:r w:rsidR="00143A73" w:rsidRPr="00A017EE">
        <w:rPr>
          <w:rFonts w:cs="Arial"/>
          <w:color w:val="000000"/>
        </w:rPr>
        <w:t>o</w:t>
      </w:r>
      <w:r w:rsidR="00A43973" w:rsidRPr="00A017EE">
        <w:rPr>
          <w:rFonts w:cs="Arial"/>
          <w:color w:val="000000"/>
        </w:rPr>
        <w:t>f salaries over the projection period.  Variations as a percentage of salaries are due to the projected changes to the age structure of the membership over time</w:t>
      </w:r>
      <w:r w:rsidR="0003272F">
        <w:rPr>
          <w:rFonts w:cs="Arial"/>
          <w:color w:val="000000"/>
        </w:rPr>
        <w:t xml:space="preserve"> and thus depend upon </w:t>
      </w:r>
      <w:r w:rsidR="004C1AED">
        <w:rPr>
          <w:rFonts w:cs="Arial"/>
          <w:color w:val="000000"/>
        </w:rPr>
        <w:t xml:space="preserve">the demographic </w:t>
      </w:r>
      <w:r w:rsidR="0003272F">
        <w:rPr>
          <w:rFonts w:cs="Arial"/>
          <w:color w:val="000000"/>
        </w:rPr>
        <w:t>assumptions made</w:t>
      </w:r>
      <w:r w:rsidR="004C1AED">
        <w:rPr>
          <w:rFonts w:cs="Arial"/>
          <w:color w:val="000000"/>
        </w:rPr>
        <w:t>, particularly those</w:t>
      </w:r>
      <w:r w:rsidR="0003272F">
        <w:rPr>
          <w:rFonts w:cs="Arial"/>
          <w:color w:val="000000"/>
        </w:rPr>
        <w:t xml:space="preserve"> regarding the age distribution of new entrants</w:t>
      </w:r>
      <w:r w:rsidR="00A43973" w:rsidRPr="00A017EE">
        <w:rPr>
          <w:rFonts w:cs="Arial"/>
          <w:color w:val="000000"/>
        </w:rPr>
        <w:t>.</w:t>
      </w:r>
      <w:r w:rsidR="00393975" w:rsidRPr="00A017EE">
        <w:rPr>
          <w:rFonts w:cs="Arial"/>
          <w:color w:val="000000"/>
        </w:rPr>
        <w:t xml:space="preserve"> </w:t>
      </w:r>
    </w:p>
    <w:tbl>
      <w:tblPr>
        <w:tblW w:w="782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6"/>
        <w:gridCol w:w="3400"/>
        <w:gridCol w:w="2977"/>
      </w:tblGrid>
      <w:tr w:rsidR="00730FA5" w:rsidRPr="0055649A" w:rsidTr="00C40498">
        <w:trPr>
          <w:cantSplit/>
          <w:trHeight w:hRule="exact" w:val="588"/>
          <w:jc w:val="center"/>
        </w:trPr>
        <w:tc>
          <w:tcPr>
            <w:tcW w:w="1446" w:type="dxa"/>
            <w:tcBorders>
              <w:top w:val="double" w:sz="6" w:space="0" w:color="auto"/>
              <w:bottom w:val="single" w:sz="6" w:space="0" w:color="auto"/>
            </w:tcBorders>
            <w:vAlign w:val="center"/>
          </w:tcPr>
          <w:p w:rsidR="00730FA5" w:rsidRPr="0055649A" w:rsidRDefault="00730FA5" w:rsidP="0003272F">
            <w:pPr>
              <w:pStyle w:val="SinglePara"/>
              <w:spacing w:line="240" w:lineRule="auto"/>
              <w:rPr>
                <w:rFonts w:cs="Arial"/>
                <w:b/>
              </w:rPr>
            </w:pPr>
            <w:r>
              <w:rPr>
                <w:rFonts w:cs="Arial"/>
                <w:b/>
              </w:rPr>
              <w:t>Year</w:t>
            </w:r>
          </w:p>
        </w:tc>
        <w:tc>
          <w:tcPr>
            <w:tcW w:w="3400" w:type="dxa"/>
            <w:tcBorders>
              <w:top w:val="double" w:sz="6" w:space="0" w:color="auto"/>
              <w:left w:val="nil"/>
              <w:bottom w:val="single" w:sz="6" w:space="0" w:color="auto"/>
            </w:tcBorders>
            <w:vAlign w:val="center"/>
          </w:tcPr>
          <w:p w:rsidR="00730FA5" w:rsidRPr="0055649A" w:rsidRDefault="00730FA5" w:rsidP="0003272F">
            <w:pPr>
              <w:pStyle w:val="SinglePara"/>
              <w:spacing w:line="240" w:lineRule="auto"/>
              <w:jc w:val="center"/>
              <w:rPr>
                <w:rFonts w:cs="Arial"/>
                <w:b/>
              </w:rPr>
            </w:pPr>
            <w:r>
              <w:rPr>
                <w:rFonts w:cs="Arial"/>
                <w:b/>
              </w:rPr>
              <w:t xml:space="preserve">Premium cost </w:t>
            </w:r>
            <w:r w:rsidR="00CA0BF4">
              <w:rPr>
                <w:rFonts w:cs="Arial"/>
                <w:b/>
              </w:rPr>
              <w:br/>
            </w:r>
            <w:r>
              <w:rPr>
                <w:rFonts w:cs="Arial"/>
                <w:b/>
              </w:rPr>
              <w:t>(</w:t>
            </w:r>
            <w:r w:rsidR="00E16D36">
              <w:rPr>
                <w:rFonts w:cs="Arial"/>
                <w:b/>
              </w:rPr>
              <w:t>$000s</w:t>
            </w:r>
            <w:r>
              <w:rPr>
                <w:rFonts w:cs="Arial"/>
                <w:b/>
              </w:rPr>
              <w:t>)</w:t>
            </w:r>
          </w:p>
        </w:tc>
        <w:tc>
          <w:tcPr>
            <w:tcW w:w="2977" w:type="dxa"/>
            <w:tcBorders>
              <w:top w:val="double" w:sz="6" w:space="0" w:color="auto"/>
              <w:bottom w:val="single" w:sz="6" w:space="0" w:color="auto"/>
              <w:right w:val="double" w:sz="6" w:space="0" w:color="auto"/>
            </w:tcBorders>
            <w:vAlign w:val="center"/>
          </w:tcPr>
          <w:p w:rsidR="00730FA5" w:rsidRPr="0055649A" w:rsidRDefault="00730FA5" w:rsidP="0003272F">
            <w:pPr>
              <w:pStyle w:val="SinglePara"/>
              <w:spacing w:line="240" w:lineRule="auto"/>
              <w:jc w:val="center"/>
              <w:rPr>
                <w:rFonts w:cs="Arial"/>
                <w:b/>
              </w:rPr>
            </w:pPr>
            <w:r>
              <w:rPr>
                <w:rFonts w:cs="Arial"/>
                <w:b/>
              </w:rPr>
              <w:t xml:space="preserve">Premium cost </w:t>
            </w:r>
            <w:r>
              <w:rPr>
                <w:rFonts w:cs="Arial"/>
                <w:b/>
              </w:rPr>
              <w:br/>
              <w:t>(</w:t>
            </w:r>
            <w:r w:rsidR="00A43973">
              <w:rPr>
                <w:rFonts w:cs="Arial"/>
                <w:b/>
              </w:rPr>
              <w:t xml:space="preserve">as </w:t>
            </w:r>
            <w:r>
              <w:rPr>
                <w:rFonts w:cs="Arial"/>
                <w:b/>
              </w:rPr>
              <w:t xml:space="preserve">% of </w:t>
            </w:r>
            <w:r w:rsidR="00836D29">
              <w:rPr>
                <w:rFonts w:cs="Arial"/>
                <w:b/>
              </w:rPr>
              <w:t xml:space="preserve">total </w:t>
            </w:r>
            <w:r>
              <w:rPr>
                <w:rFonts w:cs="Arial"/>
                <w:b/>
              </w:rPr>
              <w:t>salaries)</w:t>
            </w:r>
          </w:p>
        </w:tc>
      </w:tr>
      <w:tr w:rsidR="00C40498" w:rsidRPr="0003272F" w:rsidTr="00A9150A">
        <w:trPr>
          <w:cantSplit/>
          <w:trHeight w:hRule="exact" w:val="228"/>
          <w:jc w:val="center"/>
        </w:trPr>
        <w:tc>
          <w:tcPr>
            <w:tcW w:w="1446" w:type="dxa"/>
            <w:tcBorders>
              <w:top w:val="nil"/>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2014-15</w:t>
            </w:r>
          </w:p>
        </w:tc>
        <w:tc>
          <w:tcPr>
            <w:tcW w:w="3400" w:type="dxa"/>
            <w:tcBorders>
              <w:top w:val="nil"/>
              <w:left w:val="nil"/>
            </w:tcBorders>
            <w:vAlign w:val="center"/>
          </w:tcPr>
          <w:p w:rsidR="00C40498" w:rsidRDefault="00A9150A" w:rsidP="00A9150A">
            <w:pPr>
              <w:pStyle w:val="SinglePara"/>
              <w:tabs>
                <w:tab w:val="decimal" w:pos="1675"/>
              </w:tabs>
              <w:spacing w:line="240" w:lineRule="auto"/>
              <w:ind w:right="1310"/>
              <w:jc w:val="center"/>
              <w:rPr>
                <w:rFonts w:cs="Arial"/>
                <w:sz w:val="18"/>
                <w:szCs w:val="18"/>
              </w:rPr>
            </w:pPr>
            <w:r>
              <w:rPr>
                <w:rFonts w:cs="Arial"/>
                <w:sz w:val="18"/>
                <w:szCs w:val="18"/>
              </w:rPr>
              <w:t>608</w:t>
            </w:r>
          </w:p>
          <w:p w:rsidR="00A9150A" w:rsidRPr="0003272F" w:rsidRDefault="00A9150A" w:rsidP="00A9150A">
            <w:pPr>
              <w:pStyle w:val="SinglePara"/>
              <w:tabs>
                <w:tab w:val="decimal" w:pos="1675"/>
              </w:tabs>
              <w:spacing w:line="240" w:lineRule="auto"/>
              <w:ind w:right="1310"/>
              <w:jc w:val="center"/>
              <w:rPr>
                <w:rFonts w:cs="Arial"/>
                <w:sz w:val="18"/>
                <w:szCs w:val="18"/>
              </w:rPr>
            </w:pPr>
          </w:p>
        </w:tc>
        <w:tc>
          <w:tcPr>
            <w:tcW w:w="2977" w:type="dxa"/>
            <w:tcBorders>
              <w:top w:val="nil"/>
              <w:bottom w:val="single" w:sz="6"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8"/>
          <w:jc w:val="center"/>
        </w:trPr>
        <w:tc>
          <w:tcPr>
            <w:tcW w:w="1446" w:type="dxa"/>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2015-16</w:t>
            </w:r>
          </w:p>
        </w:tc>
        <w:tc>
          <w:tcPr>
            <w:tcW w:w="3400" w:type="dxa"/>
            <w:tcBorders>
              <w:left w:val="nil"/>
            </w:tcBorders>
            <w:vAlign w:val="center"/>
          </w:tcPr>
          <w:p w:rsidR="00C40498" w:rsidRDefault="00A9150A" w:rsidP="00A9150A">
            <w:pPr>
              <w:pStyle w:val="SinglePara"/>
              <w:tabs>
                <w:tab w:val="decimal" w:pos="1675"/>
              </w:tabs>
              <w:spacing w:line="240" w:lineRule="auto"/>
              <w:ind w:right="1310"/>
              <w:jc w:val="center"/>
              <w:rPr>
                <w:rFonts w:cs="Arial"/>
                <w:sz w:val="18"/>
                <w:szCs w:val="18"/>
              </w:rPr>
            </w:pPr>
            <w:r>
              <w:rPr>
                <w:rFonts w:cs="Arial"/>
                <w:sz w:val="18"/>
                <w:szCs w:val="18"/>
              </w:rPr>
              <w:t>632</w:t>
            </w:r>
          </w:p>
          <w:p w:rsidR="00A9150A" w:rsidRPr="0003272F" w:rsidRDefault="00A9150A" w:rsidP="00A9150A">
            <w:pPr>
              <w:pStyle w:val="SinglePara"/>
              <w:tabs>
                <w:tab w:val="decimal" w:pos="1675"/>
              </w:tabs>
              <w:spacing w:line="240" w:lineRule="auto"/>
              <w:ind w:right="1310"/>
              <w:jc w:val="center"/>
              <w:rPr>
                <w:rFonts w:cs="Arial"/>
                <w:sz w:val="18"/>
                <w:szCs w:val="18"/>
              </w:rPr>
            </w:pPr>
          </w:p>
        </w:tc>
        <w:tc>
          <w:tcPr>
            <w:tcW w:w="2977" w:type="dxa"/>
            <w:tcBorders>
              <w:top w:val="single" w:sz="6" w:space="0" w:color="auto"/>
              <w:bottom w:val="single" w:sz="6"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92"/>
          <w:jc w:val="center"/>
        </w:trPr>
        <w:tc>
          <w:tcPr>
            <w:tcW w:w="1446" w:type="dxa"/>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2016-17</w:t>
            </w:r>
          </w:p>
        </w:tc>
        <w:tc>
          <w:tcPr>
            <w:tcW w:w="3400" w:type="dxa"/>
            <w:tcBorders>
              <w:left w:val="nil"/>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694</w:t>
            </w:r>
          </w:p>
        </w:tc>
        <w:tc>
          <w:tcPr>
            <w:tcW w:w="2977" w:type="dxa"/>
            <w:tcBorders>
              <w:top w:val="single" w:sz="6" w:space="0" w:color="auto"/>
              <w:bottom w:val="single" w:sz="6"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2.8</w:t>
            </w:r>
          </w:p>
        </w:tc>
      </w:tr>
      <w:tr w:rsidR="00C40498" w:rsidRPr="0003272F" w:rsidTr="00A9150A">
        <w:trPr>
          <w:cantSplit/>
          <w:trHeight w:hRule="exact" w:val="282"/>
          <w:jc w:val="center"/>
        </w:trPr>
        <w:tc>
          <w:tcPr>
            <w:tcW w:w="1446" w:type="dxa"/>
            <w:tcBorders>
              <w:bottom w:val="single" w:sz="6"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2017-18</w:t>
            </w:r>
          </w:p>
        </w:tc>
        <w:tc>
          <w:tcPr>
            <w:tcW w:w="3400" w:type="dxa"/>
            <w:tcBorders>
              <w:left w:val="nil"/>
              <w:bottom w:val="single" w:sz="6"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727</w:t>
            </w:r>
          </w:p>
        </w:tc>
        <w:tc>
          <w:tcPr>
            <w:tcW w:w="2977" w:type="dxa"/>
            <w:tcBorders>
              <w:top w:val="single" w:sz="6" w:space="0" w:color="auto"/>
              <w:bottom w:val="single" w:sz="6"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2.8</w:t>
            </w:r>
          </w:p>
        </w:tc>
      </w:tr>
      <w:tr w:rsidR="00C40498" w:rsidRPr="0003272F" w:rsidTr="00A9150A">
        <w:trPr>
          <w:cantSplit/>
          <w:trHeight w:hRule="exact" w:val="283"/>
          <w:jc w:val="center"/>
        </w:trPr>
        <w:tc>
          <w:tcPr>
            <w:tcW w:w="1446" w:type="dxa"/>
            <w:tcBorders>
              <w:top w:val="single" w:sz="6"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2018-19</w:t>
            </w:r>
          </w:p>
        </w:tc>
        <w:tc>
          <w:tcPr>
            <w:tcW w:w="3400" w:type="dxa"/>
            <w:tcBorders>
              <w:top w:val="single" w:sz="6"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730</w:t>
            </w:r>
          </w:p>
        </w:tc>
        <w:tc>
          <w:tcPr>
            <w:tcW w:w="2977" w:type="dxa"/>
            <w:tcBorders>
              <w:top w:val="single" w:sz="6"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2.7</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2019-20</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735</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2020-21</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741</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2021-22</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765</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2022-23</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781</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2023-24</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804</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6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2024-25</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825</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2.4</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2025-26</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870</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2026-27</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899</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2.4</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2027-28</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944</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2028-29</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1,005</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2.5</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2029-30</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1,057</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sidRPr="0003272F">
              <w:rPr>
                <w:rFonts w:cs="Arial"/>
                <w:sz w:val="18"/>
                <w:szCs w:val="18"/>
              </w:rPr>
              <w:t>2030-31</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1,119</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Pr>
                <w:rFonts w:cs="Arial"/>
                <w:sz w:val="18"/>
                <w:szCs w:val="18"/>
              </w:rPr>
              <w:t>2031-32</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1,117</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53"/>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Pr>
                <w:rFonts w:cs="Arial"/>
                <w:sz w:val="18"/>
                <w:szCs w:val="18"/>
              </w:rPr>
              <w:t>2032-33</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1,208</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85"/>
          <w:jc w:val="center"/>
        </w:trPr>
        <w:tc>
          <w:tcPr>
            <w:tcW w:w="1446" w:type="dxa"/>
            <w:tcBorders>
              <w:top w:val="single" w:sz="4" w:space="0" w:color="auto"/>
              <w:bottom w:val="single" w:sz="4" w:space="0" w:color="auto"/>
            </w:tcBorders>
            <w:vAlign w:val="center"/>
          </w:tcPr>
          <w:p w:rsidR="00C40498" w:rsidRPr="0003272F" w:rsidRDefault="00C40498" w:rsidP="00A9150A">
            <w:pPr>
              <w:pStyle w:val="SinglePara"/>
              <w:spacing w:line="240" w:lineRule="auto"/>
              <w:jc w:val="center"/>
              <w:rPr>
                <w:rFonts w:cs="Arial"/>
                <w:sz w:val="18"/>
                <w:szCs w:val="18"/>
              </w:rPr>
            </w:pPr>
            <w:r>
              <w:rPr>
                <w:rFonts w:cs="Arial"/>
                <w:sz w:val="18"/>
                <w:szCs w:val="18"/>
              </w:rPr>
              <w:t>2033-34</w:t>
            </w:r>
          </w:p>
        </w:tc>
        <w:tc>
          <w:tcPr>
            <w:tcW w:w="3400" w:type="dxa"/>
            <w:tcBorders>
              <w:top w:val="single" w:sz="4" w:space="0" w:color="auto"/>
              <w:left w:val="nil"/>
              <w:bottom w:val="single" w:sz="4"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1,248</w:t>
            </w:r>
          </w:p>
        </w:tc>
        <w:tc>
          <w:tcPr>
            <w:tcW w:w="2977" w:type="dxa"/>
            <w:tcBorders>
              <w:top w:val="single" w:sz="4" w:space="0" w:color="auto"/>
              <w:bottom w:val="single" w:sz="4"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r w:rsidR="00C40498" w:rsidRPr="0003272F" w:rsidTr="00A9150A">
        <w:trPr>
          <w:cantSplit/>
          <w:trHeight w:hRule="exact" w:val="276"/>
          <w:jc w:val="center"/>
        </w:trPr>
        <w:tc>
          <w:tcPr>
            <w:tcW w:w="1446" w:type="dxa"/>
            <w:tcBorders>
              <w:top w:val="single" w:sz="4" w:space="0" w:color="auto"/>
              <w:bottom w:val="double" w:sz="6" w:space="0" w:color="auto"/>
            </w:tcBorders>
            <w:vAlign w:val="center"/>
          </w:tcPr>
          <w:p w:rsidR="00C40498" w:rsidRPr="0003272F" w:rsidRDefault="00D356F8" w:rsidP="00A9150A">
            <w:pPr>
              <w:pStyle w:val="SinglePara"/>
              <w:spacing w:line="240" w:lineRule="auto"/>
              <w:jc w:val="center"/>
              <w:rPr>
                <w:rFonts w:cs="Arial"/>
                <w:sz w:val="18"/>
                <w:szCs w:val="18"/>
              </w:rPr>
            </w:pPr>
            <w:r>
              <w:rPr>
                <w:rFonts w:cs="Arial"/>
                <w:sz w:val="18"/>
                <w:szCs w:val="18"/>
              </w:rPr>
              <w:t>2</w:t>
            </w:r>
            <w:r w:rsidR="00C40498">
              <w:rPr>
                <w:rFonts w:cs="Arial"/>
                <w:sz w:val="18"/>
                <w:szCs w:val="18"/>
              </w:rPr>
              <w:t>034-35</w:t>
            </w:r>
          </w:p>
        </w:tc>
        <w:tc>
          <w:tcPr>
            <w:tcW w:w="3400" w:type="dxa"/>
            <w:tcBorders>
              <w:top w:val="single" w:sz="4" w:space="0" w:color="auto"/>
              <w:left w:val="nil"/>
              <w:bottom w:val="double" w:sz="6" w:space="0" w:color="auto"/>
            </w:tcBorders>
            <w:vAlign w:val="center"/>
          </w:tcPr>
          <w:p w:rsidR="00C40498" w:rsidRPr="0003272F" w:rsidRDefault="00A9150A" w:rsidP="00A9150A">
            <w:pPr>
              <w:pStyle w:val="SinglePara"/>
              <w:tabs>
                <w:tab w:val="decimal" w:pos="1675"/>
              </w:tabs>
              <w:spacing w:line="240" w:lineRule="auto"/>
              <w:ind w:right="1310"/>
              <w:jc w:val="center"/>
              <w:rPr>
                <w:rFonts w:cs="Arial"/>
                <w:sz w:val="18"/>
                <w:szCs w:val="18"/>
              </w:rPr>
            </w:pPr>
            <w:r>
              <w:rPr>
                <w:rFonts w:cs="Arial"/>
                <w:sz w:val="18"/>
                <w:szCs w:val="18"/>
              </w:rPr>
              <w:t>1,</w:t>
            </w:r>
            <w:r w:rsidR="0062717F">
              <w:rPr>
                <w:rFonts w:cs="Arial"/>
                <w:sz w:val="18"/>
                <w:szCs w:val="18"/>
              </w:rPr>
              <w:t>2</w:t>
            </w:r>
            <w:r>
              <w:rPr>
                <w:rFonts w:cs="Arial"/>
                <w:sz w:val="18"/>
                <w:szCs w:val="18"/>
              </w:rPr>
              <w:t>95</w:t>
            </w:r>
          </w:p>
        </w:tc>
        <w:tc>
          <w:tcPr>
            <w:tcW w:w="2977" w:type="dxa"/>
            <w:tcBorders>
              <w:top w:val="single" w:sz="4" w:space="0" w:color="auto"/>
              <w:bottom w:val="double" w:sz="6" w:space="0" w:color="auto"/>
              <w:right w:val="double" w:sz="6" w:space="0" w:color="auto"/>
            </w:tcBorders>
            <w:vAlign w:val="center"/>
          </w:tcPr>
          <w:p w:rsidR="00C40498" w:rsidRPr="0003272F" w:rsidRDefault="00A9150A" w:rsidP="00A9150A">
            <w:pPr>
              <w:pStyle w:val="SinglePara"/>
              <w:spacing w:line="240" w:lineRule="auto"/>
              <w:jc w:val="center"/>
              <w:rPr>
                <w:rFonts w:cs="Arial"/>
                <w:sz w:val="18"/>
                <w:szCs w:val="18"/>
              </w:rPr>
            </w:pPr>
            <w:r>
              <w:rPr>
                <w:rFonts w:cs="Arial"/>
                <w:sz w:val="18"/>
                <w:szCs w:val="18"/>
              </w:rPr>
              <w:t>2.6</w:t>
            </w:r>
          </w:p>
        </w:tc>
      </w:tr>
    </w:tbl>
    <w:p w:rsidR="002D739E" w:rsidRDefault="002D739E" w:rsidP="009612B8">
      <w:pPr>
        <w:pStyle w:val="Heading2"/>
      </w:pPr>
      <w:r w:rsidRPr="009612B8">
        <w:lastRenderedPageBreak/>
        <w:t>PROJECTION</w:t>
      </w:r>
      <w:r>
        <w:t xml:space="preserve"> OF CASH</w:t>
      </w:r>
      <w:r w:rsidR="00B77D44">
        <w:t>FLOWS</w:t>
      </w:r>
      <w:r>
        <w:t xml:space="preserve"> </w:t>
      </w:r>
    </w:p>
    <w:p w:rsidR="00B77D44" w:rsidRPr="008077AD" w:rsidRDefault="0003094B" w:rsidP="00B77D44">
      <w:pPr>
        <w:pStyle w:val="BodyText"/>
      </w:pPr>
      <w:r>
        <w:rPr>
          <w:rFonts w:cs="Arial"/>
        </w:rPr>
        <w:t>As well as estimating the premium</w:t>
      </w:r>
      <w:r w:rsidR="003F6AA3">
        <w:rPr>
          <w:rFonts w:cs="Arial"/>
        </w:rPr>
        <w:t xml:space="preserve"> costs</w:t>
      </w:r>
      <w:r w:rsidR="000C66D4">
        <w:rPr>
          <w:rFonts w:cs="Arial"/>
        </w:rPr>
        <w:t>, we have estimated the projected cashflows arising under the scheme.</w:t>
      </w:r>
      <w:r w:rsidRPr="00AA2C15">
        <w:rPr>
          <w:rFonts w:cs="Arial"/>
        </w:rPr>
        <w:t xml:space="preserve"> </w:t>
      </w:r>
      <w:r w:rsidR="00200217">
        <w:rPr>
          <w:rFonts w:cs="Arial"/>
        </w:rPr>
        <w:t>As the Scheme is relatively new, the early c</w:t>
      </w:r>
      <w:r w:rsidR="00200217" w:rsidRPr="00E24038">
        <w:rPr>
          <w:rFonts w:cs="Arial"/>
        </w:rPr>
        <w:t>ashflows under the new Scheme will be low initially, increasing thereafter.</w:t>
      </w:r>
      <w:r w:rsidR="003509BC">
        <w:rPr>
          <w:rFonts w:cs="Arial"/>
        </w:rPr>
        <w:t xml:space="preserve">  Note that the projected payments include the pension payments to the sole invali</w:t>
      </w:r>
      <w:r w:rsidR="00012D0A">
        <w:rPr>
          <w:rFonts w:cs="Arial"/>
        </w:rPr>
        <w:t>dity pensioner as at 1 July 2014</w:t>
      </w:r>
      <w:r w:rsidR="003509BC">
        <w:rPr>
          <w:rFonts w:cs="Arial"/>
        </w:rPr>
        <w:t xml:space="preserve">. </w:t>
      </w:r>
    </w:p>
    <w:p w:rsidR="00B51CE7" w:rsidRPr="00730FA5" w:rsidRDefault="00B77D44" w:rsidP="00E16D36">
      <w:pPr>
        <w:pStyle w:val="BodyText"/>
        <w:rPr>
          <w:rFonts w:cs="Arial"/>
        </w:rPr>
      </w:pPr>
      <w:r w:rsidRPr="00730FA5">
        <w:rPr>
          <w:rFonts w:cs="Arial"/>
        </w:rPr>
        <w:t xml:space="preserve">The Table below shows the estimated </w:t>
      </w:r>
      <w:r>
        <w:rPr>
          <w:rFonts w:cs="Arial"/>
        </w:rPr>
        <w:t xml:space="preserve">cashflows for </w:t>
      </w:r>
      <w:r w:rsidR="00FE7165">
        <w:rPr>
          <w:rFonts w:cs="Arial"/>
        </w:rPr>
        <w:t xml:space="preserve">each of </w:t>
      </w:r>
      <w:r>
        <w:rPr>
          <w:rFonts w:cs="Arial"/>
        </w:rPr>
        <w:t xml:space="preserve">the next </w:t>
      </w:r>
      <w:r w:rsidR="00576440">
        <w:rPr>
          <w:rFonts w:cs="Arial"/>
        </w:rPr>
        <w:t>twenty</w:t>
      </w:r>
      <w:r>
        <w:rPr>
          <w:rFonts w:cs="Arial"/>
        </w:rPr>
        <w:t xml:space="preserve"> years</w:t>
      </w:r>
      <w:r w:rsidRPr="00730FA5">
        <w:rPr>
          <w:rFonts w:cs="Arial"/>
        </w:rPr>
        <w:t>.</w:t>
      </w:r>
      <w:r w:rsidR="00E16D36" w:rsidRPr="00E16D36">
        <w:t xml:space="preserve"> </w:t>
      </w:r>
      <w:r w:rsidR="00E16D36" w:rsidRPr="00E16D36">
        <w:rPr>
          <w:rFonts w:cs="Arial"/>
        </w:rPr>
        <w:t>It should be noted that the dollar costs given are in nominal dollars and have not been adjusted to 2</w:t>
      </w:r>
      <w:r w:rsidR="00BC3DFF">
        <w:rPr>
          <w:rFonts w:cs="Arial"/>
        </w:rPr>
        <w:t>014</w:t>
      </w:r>
      <w:r w:rsidR="00E16D36" w:rsidRPr="00E16D36">
        <w:rPr>
          <w:rFonts w:cs="Arial"/>
        </w:rPr>
        <w:t xml:space="preserve"> dollars.</w:t>
      </w:r>
    </w:p>
    <w:tbl>
      <w:tblPr>
        <w:tblW w:w="398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087"/>
        <w:gridCol w:w="1893"/>
      </w:tblGrid>
      <w:tr w:rsidR="00BE3F31" w:rsidRPr="0055649A" w:rsidTr="00BE3F31">
        <w:trPr>
          <w:cantSplit/>
          <w:trHeight w:hRule="exact" w:val="964"/>
          <w:jc w:val="center"/>
        </w:trPr>
        <w:tc>
          <w:tcPr>
            <w:tcW w:w="2087" w:type="dxa"/>
            <w:tcBorders>
              <w:top w:val="double" w:sz="6" w:space="0" w:color="auto"/>
              <w:bottom w:val="single" w:sz="6" w:space="0" w:color="auto"/>
            </w:tcBorders>
          </w:tcPr>
          <w:p w:rsidR="00BE3F31" w:rsidRPr="0055649A" w:rsidRDefault="00BE3F31" w:rsidP="00B77D44">
            <w:pPr>
              <w:pStyle w:val="SinglePara"/>
              <w:spacing w:after="360"/>
              <w:jc w:val="center"/>
              <w:rPr>
                <w:rFonts w:cs="Arial"/>
                <w:b/>
              </w:rPr>
            </w:pPr>
            <w:r>
              <w:rPr>
                <w:rFonts w:cs="Arial"/>
                <w:b/>
              </w:rPr>
              <w:t>Year</w:t>
            </w:r>
          </w:p>
        </w:tc>
        <w:tc>
          <w:tcPr>
            <w:tcW w:w="1893" w:type="dxa"/>
            <w:tcBorders>
              <w:top w:val="double" w:sz="6" w:space="0" w:color="auto"/>
              <w:left w:val="nil"/>
              <w:bottom w:val="single" w:sz="6" w:space="0" w:color="auto"/>
            </w:tcBorders>
          </w:tcPr>
          <w:p w:rsidR="00BE3F31" w:rsidRDefault="00BE3F31" w:rsidP="00B3250B">
            <w:pPr>
              <w:pStyle w:val="SinglePara"/>
              <w:spacing w:after="360"/>
              <w:jc w:val="center"/>
              <w:rPr>
                <w:rFonts w:cs="Arial"/>
                <w:b/>
              </w:rPr>
            </w:pPr>
            <w:r>
              <w:rPr>
                <w:rFonts w:cs="Arial"/>
                <w:b/>
              </w:rPr>
              <w:t xml:space="preserve">Total cashflow </w:t>
            </w:r>
            <w:r>
              <w:rPr>
                <w:rFonts w:cs="Arial"/>
                <w:b/>
              </w:rPr>
              <w:br/>
            </w:r>
            <w:r>
              <w:rPr>
                <w:rFonts w:cs="Arial"/>
                <w:b/>
              </w:rPr>
              <w:br/>
            </w:r>
            <w:r w:rsidRPr="00E16D36">
              <w:rPr>
                <w:rFonts w:cs="Arial"/>
                <w:b/>
              </w:rPr>
              <w:t>($000s)</w:t>
            </w:r>
          </w:p>
        </w:tc>
      </w:tr>
      <w:tr w:rsidR="00BC3DFF" w:rsidRPr="0055649A" w:rsidTr="00566E61">
        <w:trPr>
          <w:cantSplit/>
          <w:trHeight w:hRule="exact" w:val="360"/>
          <w:jc w:val="center"/>
        </w:trPr>
        <w:tc>
          <w:tcPr>
            <w:tcW w:w="2087" w:type="dxa"/>
            <w:tcBorders>
              <w:top w:val="nil"/>
            </w:tcBorders>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2014-15</w:t>
            </w:r>
          </w:p>
        </w:tc>
        <w:tc>
          <w:tcPr>
            <w:tcW w:w="1893" w:type="dxa"/>
            <w:tcBorders>
              <w:top w:val="nil"/>
              <w:left w:val="nil"/>
            </w:tcBorders>
            <w:vAlign w:val="bottom"/>
          </w:tcPr>
          <w:p w:rsidR="00BC3DFF" w:rsidRPr="00165FFC" w:rsidRDefault="00BC3DFF" w:rsidP="009D169B">
            <w:pPr>
              <w:pStyle w:val="SinglePara"/>
              <w:spacing w:after="360"/>
              <w:ind w:right="652"/>
              <w:jc w:val="right"/>
              <w:rPr>
                <w:rFonts w:cs="Arial"/>
              </w:rPr>
            </w:pPr>
            <w:r>
              <w:rPr>
                <w:rFonts w:cs="Arial"/>
              </w:rPr>
              <w:t>329</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2015-16</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407</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2016-17</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440</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2017-18</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542</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2018-19</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645</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2019-20</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747</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2020-21</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830</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2021-22</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677</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2022-23</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751</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2023-24</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842</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2024-25</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857</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2025-26</w:t>
            </w:r>
          </w:p>
        </w:tc>
        <w:tc>
          <w:tcPr>
            <w:tcW w:w="1893" w:type="dxa"/>
            <w:tcBorders>
              <w:left w:val="nil"/>
            </w:tcBorders>
            <w:vAlign w:val="bottom"/>
          </w:tcPr>
          <w:p w:rsidR="00BC3DFF" w:rsidRPr="00165FFC" w:rsidRDefault="00BC3DFF" w:rsidP="00165FFC">
            <w:pPr>
              <w:pStyle w:val="SinglePara"/>
              <w:spacing w:after="360"/>
              <w:ind w:right="652"/>
              <w:jc w:val="right"/>
              <w:rPr>
                <w:rFonts w:cs="Arial"/>
              </w:rPr>
            </w:pPr>
            <w:r>
              <w:rPr>
                <w:rFonts w:cs="Arial"/>
              </w:rPr>
              <w:t>938</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2026-27</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1,003</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2027-28</w:t>
            </w:r>
          </w:p>
        </w:tc>
        <w:tc>
          <w:tcPr>
            <w:tcW w:w="1893" w:type="dxa"/>
            <w:tcBorders>
              <w:left w:val="nil"/>
            </w:tcBorders>
            <w:vAlign w:val="bottom"/>
          </w:tcPr>
          <w:p w:rsidR="00BC3DFF" w:rsidRPr="00165FFC" w:rsidRDefault="00BC3DFF" w:rsidP="00165FFC">
            <w:pPr>
              <w:pStyle w:val="SinglePara"/>
              <w:spacing w:after="360"/>
              <w:ind w:right="652"/>
              <w:jc w:val="right"/>
              <w:rPr>
                <w:rFonts w:cs="Arial"/>
              </w:rPr>
            </w:pPr>
            <w:r>
              <w:rPr>
                <w:rFonts w:cs="Arial"/>
              </w:rPr>
              <w:t>1,006</w:t>
            </w:r>
          </w:p>
        </w:tc>
      </w:tr>
      <w:tr w:rsidR="00BC3DFF" w:rsidRPr="0055649A" w:rsidTr="00566E61">
        <w:trPr>
          <w:cantSplit/>
          <w:trHeight w:hRule="exact" w:val="360"/>
          <w:jc w:val="center"/>
        </w:trPr>
        <w:tc>
          <w:tcPr>
            <w:tcW w:w="2087" w:type="dxa"/>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2028-29</w:t>
            </w:r>
          </w:p>
        </w:tc>
        <w:tc>
          <w:tcPr>
            <w:tcW w:w="1893" w:type="dxa"/>
            <w:tcBorders>
              <w:left w:val="nil"/>
            </w:tcBorders>
            <w:vAlign w:val="bottom"/>
          </w:tcPr>
          <w:p w:rsidR="00BC3DFF" w:rsidRPr="00165FFC" w:rsidRDefault="00BC3DFF" w:rsidP="009D169B">
            <w:pPr>
              <w:pStyle w:val="SinglePara"/>
              <w:spacing w:after="360"/>
              <w:ind w:right="652"/>
              <w:jc w:val="right"/>
              <w:rPr>
                <w:rFonts w:cs="Arial"/>
              </w:rPr>
            </w:pPr>
            <w:r>
              <w:rPr>
                <w:rFonts w:cs="Arial"/>
              </w:rPr>
              <w:t>1,047</w:t>
            </w:r>
          </w:p>
        </w:tc>
      </w:tr>
      <w:tr w:rsidR="00BC3DFF" w:rsidRPr="0055649A" w:rsidTr="00566E61">
        <w:trPr>
          <w:cantSplit/>
          <w:trHeight w:hRule="exact" w:val="360"/>
          <w:jc w:val="center"/>
        </w:trPr>
        <w:tc>
          <w:tcPr>
            <w:tcW w:w="2087" w:type="dxa"/>
            <w:tcBorders>
              <w:top w:val="single" w:sz="4" w:space="0" w:color="auto"/>
              <w:bottom w:val="single" w:sz="4" w:space="0" w:color="auto"/>
            </w:tcBorders>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2029-30</w:t>
            </w:r>
          </w:p>
        </w:tc>
        <w:tc>
          <w:tcPr>
            <w:tcW w:w="1893" w:type="dxa"/>
            <w:tcBorders>
              <w:top w:val="single" w:sz="4" w:space="0" w:color="auto"/>
              <w:left w:val="nil"/>
              <w:bottom w:val="single" w:sz="4" w:space="0" w:color="auto"/>
            </w:tcBorders>
            <w:vAlign w:val="bottom"/>
          </w:tcPr>
          <w:p w:rsidR="00BC3DFF" w:rsidRPr="00165FFC" w:rsidRDefault="00BC3DFF" w:rsidP="009D169B">
            <w:pPr>
              <w:pStyle w:val="SinglePara"/>
              <w:spacing w:after="360"/>
              <w:ind w:right="652"/>
              <w:jc w:val="right"/>
              <w:rPr>
                <w:rFonts w:cs="Arial"/>
              </w:rPr>
            </w:pPr>
            <w:r>
              <w:rPr>
                <w:rFonts w:cs="Arial"/>
              </w:rPr>
              <w:t>1,038</w:t>
            </w:r>
          </w:p>
        </w:tc>
      </w:tr>
      <w:tr w:rsidR="00BC3DFF" w:rsidRPr="0055649A" w:rsidTr="00566E61">
        <w:trPr>
          <w:cantSplit/>
          <w:trHeight w:hRule="exact" w:val="360"/>
          <w:jc w:val="center"/>
        </w:trPr>
        <w:tc>
          <w:tcPr>
            <w:tcW w:w="2087" w:type="dxa"/>
            <w:tcBorders>
              <w:top w:val="single" w:sz="4" w:space="0" w:color="auto"/>
              <w:bottom w:val="single" w:sz="4" w:space="0" w:color="auto"/>
            </w:tcBorders>
            <w:vAlign w:val="center"/>
          </w:tcPr>
          <w:p w:rsidR="00BC3DFF" w:rsidRPr="0003272F" w:rsidRDefault="00BC3DFF" w:rsidP="00566E61">
            <w:pPr>
              <w:pStyle w:val="SinglePara"/>
              <w:spacing w:line="240" w:lineRule="auto"/>
              <w:jc w:val="center"/>
              <w:rPr>
                <w:rFonts w:cs="Arial"/>
                <w:sz w:val="18"/>
                <w:szCs w:val="18"/>
              </w:rPr>
            </w:pPr>
            <w:r w:rsidRPr="0003272F">
              <w:rPr>
                <w:rFonts w:cs="Arial"/>
                <w:sz w:val="18"/>
                <w:szCs w:val="18"/>
              </w:rPr>
              <w:t>2030-31</w:t>
            </w:r>
          </w:p>
        </w:tc>
        <w:tc>
          <w:tcPr>
            <w:tcW w:w="1893" w:type="dxa"/>
            <w:tcBorders>
              <w:top w:val="single" w:sz="4" w:space="0" w:color="auto"/>
              <w:left w:val="nil"/>
              <w:bottom w:val="single" w:sz="4" w:space="0" w:color="auto"/>
            </w:tcBorders>
            <w:vAlign w:val="bottom"/>
          </w:tcPr>
          <w:p w:rsidR="00BC3DFF" w:rsidRPr="00165FFC" w:rsidRDefault="00BC3DFF" w:rsidP="009D169B">
            <w:pPr>
              <w:pStyle w:val="SinglePara"/>
              <w:spacing w:after="360"/>
              <w:ind w:right="652"/>
              <w:jc w:val="right"/>
              <w:rPr>
                <w:rFonts w:cs="Arial"/>
              </w:rPr>
            </w:pPr>
            <w:r>
              <w:rPr>
                <w:rFonts w:cs="Arial"/>
              </w:rPr>
              <w:t>1,035</w:t>
            </w:r>
          </w:p>
        </w:tc>
      </w:tr>
      <w:tr w:rsidR="00BC3DFF" w:rsidRPr="0055649A" w:rsidTr="00566E61">
        <w:trPr>
          <w:cantSplit/>
          <w:trHeight w:hRule="exact" w:val="360"/>
          <w:jc w:val="center"/>
        </w:trPr>
        <w:tc>
          <w:tcPr>
            <w:tcW w:w="2087" w:type="dxa"/>
            <w:tcBorders>
              <w:top w:val="single" w:sz="4" w:space="0" w:color="auto"/>
              <w:bottom w:val="single" w:sz="4" w:space="0" w:color="auto"/>
            </w:tcBorders>
            <w:vAlign w:val="center"/>
          </w:tcPr>
          <w:p w:rsidR="00BC3DFF" w:rsidRPr="0003272F" w:rsidRDefault="00BC3DFF" w:rsidP="00566E61">
            <w:pPr>
              <w:pStyle w:val="SinglePara"/>
              <w:spacing w:line="240" w:lineRule="auto"/>
              <w:jc w:val="center"/>
              <w:rPr>
                <w:rFonts w:cs="Arial"/>
                <w:sz w:val="18"/>
                <w:szCs w:val="18"/>
              </w:rPr>
            </w:pPr>
            <w:r>
              <w:rPr>
                <w:rFonts w:cs="Arial"/>
                <w:sz w:val="18"/>
                <w:szCs w:val="18"/>
              </w:rPr>
              <w:t>2031-32</w:t>
            </w:r>
          </w:p>
        </w:tc>
        <w:tc>
          <w:tcPr>
            <w:tcW w:w="1893" w:type="dxa"/>
            <w:tcBorders>
              <w:top w:val="single" w:sz="4" w:space="0" w:color="auto"/>
              <w:left w:val="nil"/>
              <w:bottom w:val="single" w:sz="4" w:space="0" w:color="auto"/>
            </w:tcBorders>
            <w:vAlign w:val="bottom"/>
          </w:tcPr>
          <w:p w:rsidR="00BC3DFF" w:rsidRPr="00165FFC" w:rsidRDefault="00BC3DFF" w:rsidP="00165FFC">
            <w:pPr>
              <w:pStyle w:val="SinglePara"/>
              <w:spacing w:after="360"/>
              <w:ind w:right="652"/>
              <w:jc w:val="right"/>
              <w:rPr>
                <w:rFonts w:cs="Arial"/>
              </w:rPr>
            </w:pPr>
            <w:r>
              <w:rPr>
                <w:rFonts w:cs="Arial"/>
              </w:rPr>
              <w:t>1,171</w:t>
            </w:r>
          </w:p>
        </w:tc>
      </w:tr>
      <w:tr w:rsidR="00BC3DFF" w:rsidRPr="0055649A" w:rsidTr="00566E61">
        <w:trPr>
          <w:cantSplit/>
          <w:trHeight w:hRule="exact" w:val="360"/>
          <w:jc w:val="center"/>
        </w:trPr>
        <w:tc>
          <w:tcPr>
            <w:tcW w:w="2087" w:type="dxa"/>
            <w:tcBorders>
              <w:top w:val="single" w:sz="4" w:space="0" w:color="auto"/>
              <w:bottom w:val="single" w:sz="4" w:space="0" w:color="auto"/>
            </w:tcBorders>
            <w:vAlign w:val="center"/>
          </w:tcPr>
          <w:p w:rsidR="00BC3DFF" w:rsidRPr="0003272F" w:rsidRDefault="00BC3DFF" w:rsidP="00566E61">
            <w:pPr>
              <w:pStyle w:val="SinglePara"/>
              <w:spacing w:line="240" w:lineRule="auto"/>
              <w:jc w:val="center"/>
              <w:rPr>
                <w:rFonts w:cs="Arial"/>
                <w:sz w:val="18"/>
                <w:szCs w:val="18"/>
              </w:rPr>
            </w:pPr>
            <w:r>
              <w:rPr>
                <w:rFonts w:cs="Arial"/>
                <w:sz w:val="18"/>
                <w:szCs w:val="18"/>
              </w:rPr>
              <w:t>2032-33</w:t>
            </w:r>
          </w:p>
        </w:tc>
        <w:tc>
          <w:tcPr>
            <w:tcW w:w="1893" w:type="dxa"/>
            <w:tcBorders>
              <w:top w:val="single" w:sz="4" w:space="0" w:color="auto"/>
              <w:left w:val="nil"/>
              <w:bottom w:val="single" w:sz="4" w:space="0" w:color="auto"/>
            </w:tcBorders>
            <w:vAlign w:val="bottom"/>
          </w:tcPr>
          <w:p w:rsidR="00BC3DFF" w:rsidRPr="00165FFC" w:rsidRDefault="00BC3DFF" w:rsidP="00165FFC">
            <w:pPr>
              <w:pStyle w:val="SinglePara"/>
              <w:spacing w:after="360"/>
              <w:ind w:right="652"/>
              <w:jc w:val="right"/>
              <w:rPr>
                <w:rFonts w:cs="Arial"/>
              </w:rPr>
            </w:pPr>
            <w:r>
              <w:rPr>
                <w:rFonts w:cs="Arial"/>
              </w:rPr>
              <w:t>1,278</w:t>
            </w:r>
          </w:p>
        </w:tc>
      </w:tr>
      <w:tr w:rsidR="00BC3DFF" w:rsidRPr="0055649A" w:rsidTr="00566E61">
        <w:trPr>
          <w:cantSplit/>
          <w:trHeight w:hRule="exact" w:val="430"/>
          <w:jc w:val="center"/>
        </w:trPr>
        <w:tc>
          <w:tcPr>
            <w:tcW w:w="2087" w:type="dxa"/>
            <w:tcBorders>
              <w:top w:val="single" w:sz="4" w:space="0" w:color="auto"/>
              <w:bottom w:val="single" w:sz="6" w:space="0" w:color="auto"/>
            </w:tcBorders>
            <w:vAlign w:val="center"/>
          </w:tcPr>
          <w:p w:rsidR="00BC3DFF" w:rsidRPr="0003272F" w:rsidRDefault="00BC3DFF" w:rsidP="00566E61">
            <w:pPr>
              <w:pStyle w:val="SinglePara"/>
              <w:spacing w:line="240" w:lineRule="auto"/>
              <w:jc w:val="center"/>
              <w:rPr>
                <w:rFonts w:cs="Arial"/>
                <w:sz w:val="18"/>
                <w:szCs w:val="18"/>
              </w:rPr>
            </w:pPr>
            <w:r>
              <w:rPr>
                <w:rFonts w:cs="Arial"/>
                <w:sz w:val="18"/>
                <w:szCs w:val="18"/>
              </w:rPr>
              <w:t>2033-34</w:t>
            </w:r>
          </w:p>
        </w:tc>
        <w:tc>
          <w:tcPr>
            <w:tcW w:w="1893" w:type="dxa"/>
            <w:tcBorders>
              <w:top w:val="single" w:sz="4" w:space="0" w:color="auto"/>
              <w:left w:val="nil"/>
              <w:bottom w:val="single" w:sz="6" w:space="0" w:color="auto"/>
            </w:tcBorders>
            <w:vAlign w:val="bottom"/>
          </w:tcPr>
          <w:p w:rsidR="00BC3DFF" w:rsidRPr="00165FFC" w:rsidRDefault="00BC3DFF" w:rsidP="009D169B">
            <w:pPr>
              <w:pStyle w:val="SinglePara"/>
              <w:spacing w:after="360"/>
              <w:ind w:right="652"/>
              <w:jc w:val="right"/>
              <w:rPr>
                <w:rFonts w:cs="Arial"/>
              </w:rPr>
            </w:pPr>
            <w:r>
              <w:rPr>
                <w:rFonts w:cs="Arial"/>
              </w:rPr>
              <w:t>1,368</w:t>
            </w:r>
          </w:p>
        </w:tc>
      </w:tr>
      <w:tr w:rsidR="00BC3DFF" w:rsidRPr="0055649A" w:rsidTr="00BC3DFF">
        <w:trPr>
          <w:cantSplit/>
          <w:trHeight w:hRule="exact" w:val="405"/>
          <w:jc w:val="center"/>
        </w:trPr>
        <w:tc>
          <w:tcPr>
            <w:tcW w:w="2087" w:type="dxa"/>
            <w:tcBorders>
              <w:top w:val="single" w:sz="6" w:space="0" w:color="auto"/>
              <w:bottom w:val="single" w:sz="6" w:space="0" w:color="auto"/>
            </w:tcBorders>
            <w:vAlign w:val="center"/>
          </w:tcPr>
          <w:p w:rsidR="00BC3DFF" w:rsidRPr="0003272F" w:rsidRDefault="00BC3DFF" w:rsidP="00566E61">
            <w:pPr>
              <w:pStyle w:val="SinglePara"/>
              <w:spacing w:line="240" w:lineRule="auto"/>
              <w:jc w:val="center"/>
              <w:rPr>
                <w:rFonts w:cs="Arial"/>
                <w:sz w:val="18"/>
                <w:szCs w:val="18"/>
              </w:rPr>
            </w:pPr>
            <w:r>
              <w:rPr>
                <w:rFonts w:cs="Arial"/>
                <w:sz w:val="18"/>
                <w:szCs w:val="18"/>
              </w:rPr>
              <w:t>2034-35</w:t>
            </w:r>
          </w:p>
        </w:tc>
        <w:tc>
          <w:tcPr>
            <w:tcW w:w="1893" w:type="dxa"/>
            <w:tcBorders>
              <w:top w:val="single" w:sz="6" w:space="0" w:color="auto"/>
              <w:left w:val="nil"/>
              <w:bottom w:val="single" w:sz="6" w:space="0" w:color="auto"/>
            </w:tcBorders>
            <w:vAlign w:val="bottom"/>
          </w:tcPr>
          <w:p w:rsidR="00BC3DFF" w:rsidRPr="00165FFC" w:rsidRDefault="00BC3DFF" w:rsidP="009D169B">
            <w:pPr>
              <w:pStyle w:val="SinglePara"/>
              <w:spacing w:after="360"/>
              <w:ind w:right="652"/>
              <w:jc w:val="right"/>
              <w:rPr>
                <w:rFonts w:cs="Arial"/>
              </w:rPr>
            </w:pPr>
            <w:r>
              <w:rPr>
                <w:rFonts w:cs="Arial"/>
              </w:rPr>
              <w:t>1,393</w:t>
            </w:r>
          </w:p>
        </w:tc>
      </w:tr>
    </w:tbl>
    <w:p w:rsidR="003509BC" w:rsidRDefault="003509BC" w:rsidP="003509BC">
      <w:pPr>
        <w:pStyle w:val="BodyText"/>
        <w:keepNext/>
        <w:numPr>
          <w:ilvl w:val="0"/>
          <w:numId w:val="0"/>
        </w:numPr>
        <w:ind w:left="284"/>
        <w:rPr>
          <w:rFonts w:cs="Arial"/>
        </w:rPr>
      </w:pPr>
    </w:p>
    <w:p w:rsidR="003509BC" w:rsidRDefault="003509BC">
      <w:pPr>
        <w:spacing w:before="0" w:after="0" w:line="240" w:lineRule="auto"/>
        <w:jc w:val="left"/>
        <w:rPr>
          <w:rFonts w:cs="Arial"/>
        </w:rPr>
      </w:pPr>
      <w:r>
        <w:rPr>
          <w:rFonts w:cs="Arial"/>
        </w:rPr>
        <w:br w:type="page"/>
      </w:r>
    </w:p>
    <w:p w:rsidR="00B3250B" w:rsidRPr="003509BC" w:rsidRDefault="00B3250B" w:rsidP="002A7970">
      <w:pPr>
        <w:pStyle w:val="BodyText"/>
        <w:keepNext/>
        <w:tabs>
          <w:tab w:val="clear" w:pos="1134"/>
          <w:tab w:val="num" w:pos="851"/>
        </w:tabs>
        <w:ind w:left="851" w:hanging="851"/>
        <w:rPr>
          <w:rFonts w:cs="Arial"/>
        </w:rPr>
      </w:pPr>
      <w:r w:rsidRPr="003509BC">
        <w:rPr>
          <w:rFonts w:cs="Arial"/>
        </w:rPr>
        <w:t>There is some volatility in cashflows from year to year.  This is due to the age structure of the current member population. Due to the small size of the population and clusters of members around particular ages, there will be years</w:t>
      </w:r>
      <w:r w:rsidR="00E327AE" w:rsidRPr="003509BC">
        <w:rPr>
          <w:rFonts w:cs="Arial"/>
        </w:rPr>
        <w:t xml:space="preserve"> where </w:t>
      </w:r>
      <w:r w:rsidR="003F6AA3" w:rsidRPr="003509BC">
        <w:rPr>
          <w:rFonts w:cs="Arial"/>
        </w:rPr>
        <w:t xml:space="preserve">the </w:t>
      </w:r>
      <w:r w:rsidR="00E327AE" w:rsidRPr="003509BC">
        <w:rPr>
          <w:rFonts w:cs="Arial"/>
        </w:rPr>
        <w:t xml:space="preserve">cashflow decreases compared to the previous year.  For example, </w:t>
      </w:r>
      <w:r w:rsidR="00241430" w:rsidRPr="003509BC">
        <w:rPr>
          <w:rFonts w:cs="Arial"/>
        </w:rPr>
        <w:t xml:space="preserve">when </w:t>
      </w:r>
      <w:r w:rsidR="00E327AE" w:rsidRPr="003509BC">
        <w:rPr>
          <w:rFonts w:cs="Arial"/>
        </w:rPr>
        <w:t>a</w:t>
      </w:r>
      <w:r w:rsidRPr="003509BC">
        <w:rPr>
          <w:rFonts w:cs="Arial"/>
        </w:rPr>
        <w:t xml:space="preserve"> member </w:t>
      </w:r>
      <w:r w:rsidR="00241430" w:rsidRPr="003509BC">
        <w:rPr>
          <w:rFonts w:cs="Arial"/>
        </w:rPr>
        <w:t>in receipt of an invalid pension</w:t>
      </w:r>
      <w:r w:rsidR="003F6AA3" w:rsidRPr="003509BC">
        <w:rPr>
          <w:rFonts w:cs="Arial"/>
        </w:rPr>
        <w:t xml:space="preserve"> </w:t>
      </w:r>
      <w:r w:rsidRPr="003509BC">
        <w:rPr>
          <w:rFonts w:cs="Arial"/>
        </w:rPr>
        <w:t>turn</w:t>
      </w:r>
      <w:r w:rsidR="00E327AE" w:rsidRPr="003509BC">
        <w:rPr>
          <w:rFonts w:cs="Arial"/>
        </w:rPr>
        <w:t>s</w:t>
      </w:r>
      <w:r w:rsidRPr="003509BC">
        <w:rPr>
          <w:rFonts w:cs="Arial"/>
        </w:rPr>
        <w:t xml:space="preserve"> 65</w:t>
      </w:r>
      <w:r w:rsidR="00241430" w:rsidRPr="003509BC">
        <w:rPr>
          <w:rFonts w:cs="Arial"/>
        </w:rPr>
        <w:t>,</w:t>
      </w:r>
      <w:r w:rsidR="00E327AE" w:rsidRPr="003509BC">
        <w:rPr>
          <w:rFonts w:cs="Arial"/>
        </w:rPr>
        <w:t xml:space="preserve"> </w:t>
      </w:r>
      <w:r w:rsidR="003F6AA3" w:rsidRPr="003509BC">
        <w:rPr>
          <w:rFonts w:cs="Arial"/>
        </w:rPr>
        <w:t>the</w:t>
      </w:r>
      <w:r w:rsidRPr="003509BC">
        <w:rPr>
          <w:rFonts w:cs="Arial"/>
        </w:rPr>
        <w:t xml:space="preserve"> superannuation </w:t>
      </w:r>
      <w:r w:rsidR="00764F83" w:rsidRPr="003509BC">
        <w:rPr>
          <w:rFonts w:cs="Arial"/>
        </w:rPr>
        <w:t>contribution</w:t>
      </w:r>
      <w:r w:rsidR="00A35C95" w:rsidRPr="003509BC">
        <w:rPr>
          <w:rFonts w:cs="Arial"/>
        </w:rPr>
        <w:t>s</w:t>
      </w:r>
      <w:r w:rsidR="00764F83" w:rsidRPr="003509BC">
        <w:rPr>
          <w:rFonts w:cs="Arial"/>
        </w:rPr>
        <w:t xml:space="preserve"> </w:t>
      </w:r>
      <w:r w:rsidRPr="003509BC">
        <w:rPr>
          <w:rFonts w:cs="Arial"/>
        </w:rPr>
        <w:t>component of their invalidity benefit</w:t>
      </w:r>
      <w:r w:rsidR="003F6AA3" w:rsidRPr="003509BC">
        <w:rPr>
          <w:rFonts w:cs="Arial"/>
        </w:rPr>
        <w:t xml:space="preserve"> </w:t>
      </w:r>
      <w:r w:rsidR="00241430" w:rsidRPr="003509BC">
        <w:rPr>
          <w:rFonts w:cs="Arial"/>
        </w:rPr>
        <w:t>ceases</w:t>
      </w:r>
      <w:r w:rsidRPr="003509BC">
        <w:rPr>
          <w:rFonts w:cs="Arial"/>
        </w:rPr>
        <w:t>.</w:t>
      </w:r>
      <w:r w:rsidR="00E327AE" w:rsidRPr="003509BC">
        <w:rPr>
          <w:rFonts w:cs="Arial"/>
        </w:rPr>
        <w:t xml:space="preserve">  If several members turn 65 in a particular year, this may have the overall effect of reducing expected cashflow costs in that year. </w:t>
      </w:r>
      <w:r w:rsidRPr="003509BC">
        <w:rPr>
          <w:rFonts w:cs="Arial"/>
        </w:rPr>
        <w:t xml:space="preserve"> </w:t>
      </w:r>
      <w:r w:rsidR="00A35C95" w:rsidRPr="003509BC">
        <w:rPr>
          <w:rFonts w:cs="Arial"/>
        </w:rPr>
        <w:t>This effect is magnified at age 70 when the invalidity pension ceases.</w:t>
      </w:r>
    </w:p>
    <w:p w:rsidR="00E327AE" w:rsidRDefault="00D106CE" w:rsidP="00AA2D87">
      <w:pPr>
        <w:pStyle w:val="BodyText"/>
        <w:keepNext/>
        <w:tabs>
          <w:tab w:val="clear" w:pos="1134"/>
          <w:tab w:val="num" w:pos="851"/>
        </w:tabs>
        <w:ind w:left="851" w:hanging="851"/>
        <w:rPr>
          <w:rFonts w:cs="Arial"/>
        </w:rPr>
      </w:pPr>
      <w:r>
        <w:rPr>
          <w:rFonts w:cs="Arial"/>
        </w:rPr>
        <w:t>It is important to note that the cashflows given above are based on averages. In practice, cashflows will depend on the incidences of claims and the details of each claim and could vary significantly from those above. For example</w:t>
      </w:r>
      <w:r w:rsidR="00911E16">
        <w:rPr>
          <w:rFonts w:cs="Arial"/>
        </w:rPr>
        <w:t>,</w:t>
      </w:r>
      <w:r>
        <w:rPr>
          <w:rFonts w:cs="Arial"/>
        </w:rPr>
        <w:t xml:space="preserve"> a death claim could lead to a “one off” </w:t>
      </w:r>
      <w:r w:rsidR="00AA2D87">
        <w:rPr>
          <w:rFonts w:cs="Arial"/>
        </w:rPr>
        <w:t>claim in the range of $0 to $1.5</w:t>
      </w:r>
      <w:r>
        <w:rPr>
          <w:rFonts w:cs="Arial"/>
        </w:rPr>
        <w:t xml:space="preserve"> million depending on the age of the individual concerned. </w:t>
      </w:r>
      <w:r w:rsidR="00AA2D87">
        <w:rPr>
          <w:rFonts w:cs="Arial"/>
        </w:rPr>
        <w:t>Thus, the cashflows shown are only indicative of the trend and magnitude of cash expenditure rather than being accurate forecasts.</w:t>
      </w:r>
      <w:r>
        <w:rPr>
          <w:rFonts w:cs="Arial"/>
        </w:rPr>
        <w:t xml:space="preserve">  </w:t>
      </w:r>
    </w:p>
    <w:p w:rsidR="00B77D44" w:rsidRPr="00B3250B" w:rsidRDefault="00B51CE7" w:rsidP="00AA2D87">
      <w:pPr>
        <w:pStyle w:val="BodyText"/>
        <w:keepNext/>
        <w:tabs>
          <w:tab w:val="clear" w:pos="1134"/>
          <w:tab w:val="num" w:pos="851"/>
        </w:tabs>
        <w:ind w:left="851" w:hanging="851"/>
        <w:rPr>
          <w:rFonts w:cs="Arial"/>
        </w:rPr>
      </w:pPr>
      <w:r w:rsidRPr="00B3250B">
        <w:rPr>
          <w:rFonts w:cs="Arial"/>
        </w:rPr>
        <w:t xml:space="preserve">Cash expenditure initially lags behind premium costs as shown in Section 6.  This is because premium costs include the capitalised value of </w:t>
      </w:r>
      <w:r w:rsidR="00085213" w:rsidRPr="00B3250B">
        <w:rPr>
          <w:rFonts w:cs="Arial"/>
        </w:rPr>
        <w:t xml:space="preserve">all invalidity pension payments (and associated superannuation contributions) arising from an invalidity claim.  Cash payments arising from an invalidity claim are spread over a number of years and will initially lag </w:t>
      </w:r>
      <w:r w:rsidR="007E0754" w:rsidRPr="00B3250B">
        <w:rPr>
          <w:rFonts w:cs="Arial"/>
        </w:rPr>
        <w:t xml:space="preserve">behind </w:t>
      </w:r>
      <w:r w:rsidR="00085213" w:rsidRPr="00B3250B">
        <w:rPr>
          <w:rFonts w:cs="Arial"/>
        </w:rPr>
        <w:t>premium costs.  In the longer term, the two would be ex</w:t>
      </w:r>
      <w:r w:rsidR="0060077E" w:rsidRPr="00B3250B">
        <w:rPr>
          <w:rFonts w:cs="Arial"/>
        </w:rPr>
        <w:t>p</w:t>
      </w:r>
      <w:r w:rsidR="00764F83">
        <w:rPr>
          <w:rFonts w:cs="Arial"/>
        </w:rPr>
        <w:t xml:space="preserve">ected to be of the same order but with cash expenditure </w:t>
      </w:r>
      <w:r w:rsidR="00525538">
        <w:rPr>
          <w:rFonts w:cs="Arial"/>
        </w:rPr>
        <w:t xml:space="preserve">generally </w:t>
      </w:r>
      <w:r w:rsidR="00764F83">
        <w:rPr>
          <w:rFonts w:cs="Arial"/>
        </w:rPr>
        <w:t xml:space="preserve">higher than premium costs. </w:t>
      </w:r>
    </w:p>
    <w:p w:rsidR="00B77D44" w:rsidRPr="00200217" w:rsidRDefault="00B77D44" w:rsidP="00576440">
      <w:pPr>
        <w:pStyle w:val="BodyText"/>
        <w:numPr>
          <w:ilvl w:val="0"/>
          <w:numId w:val="0"/>
        </w:numPr>
        <w:ind w:left="850" w:hanging="850"/>
      </w:pPr>
    </w:p>
    <w:p w:rsidR="002D739E" w:rsidRDefault="002D739E" w:rsidP="009612B8">
      <w:pPr>
        <w:pStyle w:val="Heading2"/>
      </w:pPr>
      <w:r>
        <w:br w:type="page"/>
      </w:r>
      <w:bookmarkStart w:id="13" w:name="_Toc328130131"/>
      <w:bookmarkStart w:id="14" w:name="_Toc229370574"/>
      <w:r w:rsidRPr="009612B8">
        <w:lastRenderedPageBreak/>
        <w:t>ACCRUED</w:t>
      </w:r>
      <w:r>
        <w:t xml:space="preserve"> LIABILITY</w:t>
      </w:r>
      <w:bookmarkEnd w:id="13"/>
      <w:r>
        <w:t xml:space="preserve"> </w:t>
      </w:r>
    </w:p>
    <w:p w:rsidR="002D739E" w:rsidRPr="00346A63" w:rsidRDefault="002D739E" w:rsidP="002D739E">
      <w:pPr>
        <w:pStyle w:val="BodyText"/>
      </w:pPr>
      <w:r w:rsidRPr="0055649A">
        <w:rPr>
          <w:rFonts w:cs="Arial"/>
        </w:rPr>
        <w:t>Based on the data supplied and on the assumptions made,</w:t>
      </w:r>
      <w:r>
        <w:rPr>
          <w:rFonts w:cs="Arial"/>
        </w:rPr>
        <w:t xml:space="preserve"> we have calculated the accrued</w:t>
      </w:r>
      <w:r w:rsidRPr="0055649A">
        <w:rPr>
          <w:rFonts w:cs="Arial"/>
        </w:rPr>
        <w:t xml:space="preserve"> </w:t>
      </w:r>
      <w:r w:rsidR="005B697B">
        <w:rPr>
          <w:rFonts w:cs="Arial"/>
        </w:rPr>
        <w:t>death and i</w:t>
      </w:r>
      <w:r>
        <w:rPr>
          <w:rFonts w:cs="Arial"/>
        </w:rPr>
        <w:t xml:space="preserve">nvalidity </w:t>
      </w:r>
      <w:r w:rsidRPr="0055649A">
        <w:rPr>
          <w:rFonts w:cs="Arial"/>
        </w:rPr>
        <w:t xml:space="preserve">liabilities as at </w:t>
      </w:r>
      <w:r>
        <w:rPr>
          <w:rFonts w:cs="Arial"/>
          <w:color w:val="000000"/>
        </w:rPr>
        <w:t xml:space="preserve">30 June </w:t>
      </w:r>
      <w:r w:rsidR="00346A63">
        <w:rPr>
          <w:rFonts w:cs="Arial"/>
          <w:color w:val="000000"/>
        </w:rPr>
        <w:t>2014</w:t>
      </w:r>
      <w:r w:rsidRPr="00AF59B0">
        <w:rPr>
          <w:rFonts w:cs="Arial"/>
          <w:color w:val="000000"/>
        </w:rPr>
        <w:t xml:space="preserve"> to be $</w:t>
      </w:r>
      <w:r w:rsidR="00346A63">
        <w:rPr>
          <w:rFonts w:cs="Arial"/>
          <w:color w:val="000000"/>
        </w:rPr>
        <w:t xml:space="preserve">1.40 </w:t>
      </w:r>
      <w:r w:rsidRPr="0055649A">
        <w:rPr>
          <w:rFonts w:cs="Arial"/>
          <w:color w:val="000000"/>
        </w:rPr>
        <w:t>million</w:t>
      </w:r>
      <w:r w:rsidR="006961D3">
        <w:rPr>
          <w:rFonts w:cs="Arial"/>
          <w:color w:val="000000"/>
        </w:rPr>
        <w:t xml:space="preserve">.  </w:t>
      </w:r>
      <w:r w:rsidR="005B697B">
        <w:rPr>
          <w:rFonts w:cs="Arial"/>
          <w:color w:val="000000"/>
        </w:rPr>
        <w:t>This is the present value of the future invalidity pension payments (and associated superannuation contributions) payable in respect of the one pe</w:t>
      </w:r>
      <w:r w:rsidR="00513A48">
        <w:rPr>
          <w:rFonts w:cs="Arial"/>
          <w:color w:val="000000"/>
        </w:rPr>
        <w:t xml:space="preserve">nsioner </w:t>
      </w:r>
      <w:r w:rsidR="00346A63">
        <w:rPr>
          <w:rFonts w:cs="Arial"/>
          <w:color w:val="000000"/>
        </w:rPr>
        <w:t>of the Scheme as at 30 June 2014</w:t>
      </w:r>
      <w:r w:rsidR="00513A48">
        <w:rPr>
          <w:rFonts w:cs="Arial"/>
          <w:color w:val="000000"/>
        </w:rPr>
        <w:t xml:space="preserve">.  </w:t>
      </w:r>
      <w:r>
        <w:rPr>
          <w:rFonts w:cs="Arial"/>
          <w:color w:val="000000"/>
        </w:rPr>
        <w:t>As the Scheme holds no assets, the accrued liability is equal to the unfunded liability.</w:t>
      </w:r>
    </w:p>
    <w:p w:rsidR="00346A63" w:rsidRPr="00346A63" w:rsidRDefault="00346A63" w:rsidP="002D739E">
      <w:pPr>
        <w:pStyle w:val="BodyText"/>
      </w:pPr>
      <w:r>
        <w:rPr>
          <w:rFonts w:cs="Arial"/>
          <w:color w:val="000000"/>
        </w:rPr>
        <w:t>The accrued liability set out in the above paragraph is consistent with an insurance premium approach. Under an insurance premium approach, an insurance company would receive a premium to cover the claims that could arise for that year. The insurance company would then be responsible for paying the claims that related to the premium year. This would include pension payments in future years for any invalidity claims that arose during the premium year. The insurance company’s liability at the end of any premium year would be the value of any future pension payments to those that were in receipt of a pension at the end of the year which commenced in the just finished premium year and any prior premium year.</w:t>
      </w:r>
    </w:p>
    <w:p w:rsidR="00346A63" w:rsidRPr="00FD1358" w:rsidRDefault="00346A63" w:rsidP="002D739E">
      <w:pPr>
        <w:pStyle w:val="BodyText"/>
      </w:pPr>
      <w:r>
        <w:t>There is an alternative approach for calculating the accrued liability which is used for the majority of the other Commonwealth defined benefit superannuation arrangements. Under this alternative approach, not only are the current pensioners included in the accrued liability but an allowance for part of the future potential invalidity and death claims relating to serving members is made. The allowance for serving members is on the basis that potential future invalidity and death benefits are accrued uniformly over the period of service to the expected dates of invalidity and death.  It should be noted that the approach taken for these other schemes is applied to all forms of exit including those leading to retirement and resignation benefits. The incorporation of the insurance premium approach for the non-cash service element of the death and invalidity benefits of these schemes could be argued to be an internally inconsistent valuation methodology as there are no external insurance arrangements in place. This issue is not relevant to this Scheme which only covers ‘insurance’ type death and invalidity benefits. The use of the alternative approach is conservative for this Scheme and would result in an accrued liability of $2.93 million.</w:t>
      </w:r>
    </w:p>
    <w:p w:rsidR="00712283" w:rsidRDefault="00712283">
      <w:pPr>
        <w:spacing w:before="0" w:after="0" w:line="240" w:lineRule="auto"/>
        <w:jc w:val="left"/>
        <w:rPr>
          <w:b/>
          <w:sz w:val="28"/>
        </w:rPr>
      </w:pPr>
      <w:r>
        <w:rPr>
          <w:b/>
          <w:sz w:val="28"/>
        </w:rPr>
        <w:br w:type="page"/>
      </w:r>
    </w:p>
    <w:p w:rsidR="00FD509D" w:rsidRDefault="00B80BFB" w:rsidP="009612B8">
      <w:pPr>
        <w:pStyle w:val="Heading2"/>
      </w:pPr>
      <w:bookmarkStart w:id="15" w:name="_Toc328130132"/>
      <w:bookmarkEnd w:id="14"/>
      <w:r w:rsidRPr="009612B8">
        <w:t>SENSITIVITY</w:t>
      </w:r>
      <w:r>
        <w:t xml:space="preserve"> ANALYSIS</w:t>
      </w:r>
      <w:bookmarkEnd w:id="15"/>
    </w:p>
    <w:p w:rsidR="00227A1E" w:rsidRPr="00227A1E" w:rsidRDefault="001F0F16" w:rsidP="001F0F16">
      <w:pPr>
        <w:pStyle w:val="BodyText"/>
      </w:pPr>
      <w:r w:rsidRPr="00227A1E">
        <w:rPr>
          <w:rFonts w:cs="Arial"/>
        </w:rPr>
        <w:t xml:space="preserve">As discussed in Section 5, the costs of the Scheme are sensitive to the invalidity rates assumed.  </w:t>
      </w:r>
      <w:r w:rsidR="00E55C24" w:rsidRPr="00227A1E">
        <w:rPr>
          <w:rFonts w:cs="Arial"/>
        </w:rPr>
        <w:t xml:space="preserve">The </w:t>
      </w:r>
      <w:r w:rsidR="00911E16">
        <w:rPr>
          <w:rFonts w:cs="Arial"/>
        </w:rPr>
        <w:t>uncertainty around the underlying rates is greatest for the older ages.</w:t>
      </w:r>
    </w:p>
    <w:p w:rsidR="00736DED" w:rsidRDefault="00736DED" w:rsidP="001F0F16">
      <w:pPr>
        <w:pStyle w:val="BodyText"/>
      </w:pPr>
      <w:r>
        <w:t xml:space="preserve">To </w:t>
      </w:r>
      <w:r w:rsidR="006723F1">
        <w:t>provide some guide to the possible cost implications of this</w:t>
      </w:r>
      <w:r>
        <w:t xml:space="preserve"> uncertainty</w:t>
      </w:r>
      <w:r w:rsidR="006723F1">
        <w:t>,</w:t>
      </w:r>
      <w:r>
        <w:t xml:space="preserve"> we </w:t>
      </w:r>
      <w:r w:rsidR="006723F1">
        <w:t>have estimated the projected costs assuming</w:t>
      </w:r>
      <w:r>
        <w:t xml:space="preserve"> higher invalidity rates for serving members aged 60 and older.  The assumed invalidity rates for males and females are outlined in the table below.  </w:t>
      </w:r>
      <w:r w:rsidR="00F33CB8">
        <w:t xml:space="preserve">For serving members aged 60 years, invalidity rates are 1.3 times higher than those under the base assumptions, increasing to 5 times higher for serving members aged 69 years. </w:t>
      </w:r>
    </w:p>
    <w:tbl>
      <w:tblPr>
        <w:tblW w:w="733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1000"/>
        <w:gridCol w:w="1368"/>
        <w:gridCol w:w="1843"/>
        <w:gridCol w:w="1275"/>
        <w:gridCol w:w="1844"/>
      </w:tblGrid>
      <w:tr w:rsidR="00F33CB8" w:rsidTr="00FE3179">
        <w:trPr>
          <w:trHeight w:val="437"/>
          <w:jc w:val="center"/>
        </w:trPr>
        <w:tc>
          <w:tcPr>
            <w:tcW w:w="1000" w:type="dxa"/>
          </w:tcPr>
          <w:p w:rsidR="00F33CB8" w:rsidRPr="00FE3179" w:rsidRDefault="00F33CB8" w:rsidP="00FE3179">
            <w:pPr>
              <w:pStyle w:val="SinglePara"/>
              <w:spacing w:after="120"/>
              <w:jc w:val="center"/>
              <w:rPr>
                <w:rFonts w:cs="Arial"/>
              </w:rPr>
            </w:pPr>
          </w:p>
        </w:tc>
        <w:tc>
          <w:tcPr>
            <w:tcW w:w="6330" w:type="dxa"/>
            <w:gridSpan w:val="4"/>
          </w:tcPr>
          <w:p w:rsidR="00F33CB8" w:rsidRPr="00FE3179" w:rsidRDefault="00F33CB8" w:rsidP="00FE3179">
            <w:pPr>
              <w:jc w:val="center"/>
              <w:rPr>
                <w:rFonts w:cs="Arial"/>
                <w:b/>
                <w:sz w:val="24"/>
                <w:szCs w:val="24"/>
              </w:rPr>
            </w:pPr>
            <w:r w:rsidRPr="00FE3179">
              <w:rPr>
                <w:rFonts w:cs="Arial"/>
                <w:b/>
                <w:sz w:val="24"/>
                <w:szCs w:val="24"/>
              </w:rPr>
              <w:t>INVALIDITY RATE ASSUMPTIONS</w:t>
            </w:r>
          </w:p>
        </w:tc>
      </w:tr>
      <w:tr w:rsidR="00F33CB8" w:rsidTr="00FE3179">
        <w:trPr>
          <w:trHeight w:val="437"/>
          <w:jc w:val="center"/>
        </w:trPr>
        <w:tc>
          <w:tcPr>
            <w:tcW w:w="1000" w:type="dxa"/>
          </w:tcPr>
          <w:p w:rsidR="00F33CB8" w:rsidRPr="00FE3179" w:rsidRDefault="00F33CB8" w:rsidP="00FE3179">
            <w:pPr>
              <w:pStyle w:val="SinglePara"/>
              <w:spacing w:after="120"/>
              <w:jc w:val="center"/>
              <w:rPr>
                <w:rFonts w:cs="Arial"/>
              </w:rPr>
            </w:pPr>
          </w:p>
        </w:tc>
        <w:tc>
          <w:tcPr>
            <w:tcW w:w="3211" w:type="dxa"/>
            <w:gridSpan w:val="2"/>
          </w:tcPr>
          <w:p w:rsidR="00F33CB8" w:rsidRPr="00FE3179" w:rsidRDefault="00F33CB8" w:rsidP="00FE3179">
            <w:pPr>
              <w:pStyle w:val="SinglePara"/>
              <w:spacing w:after="120"/>
              <w:jc w:val="center"/>
              <w:rPr>
                <w:rFonts w:cs="Arial"/>
                <w:b/>
              </w:rPr>
            </w:pPr>
            <w:r w:rsidRPr="00FE3179">
              <w:rPr>
                <w:rFonts w:cs="Arial"/>
                <w:b/>
              </w:rPr>
              <w:t>Females</w:t>
            </w:r>
          </w:p>
        </w:tc>
        <w:tc>
          <w:tcPr>
            <w:tcW w:w="3119" w:type="dxa"/>
            <w:gridSpan w:val="2"/>
          </w:tcPr>
          <w:p w:rsidR="00F33CB8" w:rsidRPr="00FE3179" w:rsidRDefault="00F33CB8" w:rsidP="00FE3179">
            <w:pPr>
              <w:pStyle w:val="SinglePara"/>
              <w:spacing w:after="120"/>
              <w:jc w:val="center"/>
              <w:rPr>
                <w:rFonts w:cs="Arial"/>
                <w:b/>
              </w:rPr>
            </w:pPr>
            <w:r w:rsidRPr="00FE3179">
              <w:rPr>
                <w:rFonts w:cs="Arial"/>
                <w:b/>
              </w:rPr>
              <w:t>Males</w:t>
            </w:r>
          </w:p>
        </w:tc>
      </w:tr>
      <w:tr w:rsidR="00F33CB8" w:rsidTr="00FE3179">
        <w:trPr>
          <w:trHeight w:val="742"/>
          <w:jc w:val="center"/>
        </w:trPr>
        <w:tc>
          <w:tcPr>
            <w:tcW w:w="1000" w:type="dxa"/>
          </w:tcPr>
          <w:p w:rsidR="00F33CB8" w:rsidRPr="00FE3179" w:rsidRDefault="00F33CB8" w:rsidP="00FE3179">
            <w:pPr>
              <w:pStyle w:val="SinglePara"/>
              <w:spacing w:after="120"/>
              <w:jc w:val="center"/>
              <w:rPr>
                <w:rFonts w:cs="Arial"/>
                <w:b/>
                <w:sz w:val="16"/>
                <w:szCs w:val="16"/>
              </w:rPr>
            </w:pPr>
            <w:r w:rsidRPr="00FE3179">
              <w:rPr>
                <w:rFonts w:cs="Arial"/>
                <w:b/>
                <w:sz w:val="16"/>
                <w:szCs w:val="16"/>
              </w:rPr>
              <w:t>Age</w:t>
            </w:r>
          </w:p>
        </w:tc>
        <w:tc>
          <w:tcPr>
            <w:tcW w:w="1368" w:type="dxa"/>
          </w:tcPr>
          <w:p w:rsidR="00F33CB8" w:rsidRPr="00FE3179" w:rsidRDefault="00F33CB8" w:rsidP="00FE3179">
            <w:pPr>
              <w:pStyle w:val="SinglePara"/>
              <w:spacing w:after="120"/>
              <w:jc w:val="center"/>
              <w:rPr>
                <w:rFonts w:cs="Arial"/>
                <w:b/>
                <w:sz w:val="16"/>
                <w:szCs w:val="16"/>
              </w:rPr>
            </w:pPr>
            <w:r w:rsidRPr="00FE3179">
              <w:rPr>
                <w:rFonts w:cs="Arial"/>
                <w:b/>
                <w:sz w:val="16"/>
                <w:szCs w:val="16"/>
              </w:rPr>
              <w:t>Base assumptions</w:t>
            </w:r>
          </w:p>
        </w:tc>
        <w:tc>
          <w:tcPr>
            <w:tcW w:w="1843" w:type="dxa"/>
          </w:tcPr>
          <w:p w:rsidR="00F33CB8" w:rsidRPr="00FE3179" w:rsidRDefault="00F33CB8" w:rsidP="00FE3179">
            <w:pPr>
              <w:pStyle w:val="SinglePara"/>
              <w:spacing w:after="120"/>
              <w:jc w:val="center"/>
              <w:rPr>
                <w:rFonts w:cs="Arial"/>
                <w:b/>
                <w:sz w:val="16"/>
                <w:szCs w:val="16"/>
              </w:rPr>
            </w:pPr>
            <w:r w:rsidRPr="00FE3179">
              <w:rPr>
                <w:rFonts w:cs="Arial"/>
                <w:b/>
                <w:sz w:val="16"/>
                <w:szCs w:val="16"/>
              </w:rPr>
              <w:t xml:space="preserve">Alternative invalidity assumptions </w:t>
            </w:r>
          </w:p>
        </w:tc>
        <w:tc>
          <w:tcPr>
            <w:tcW w:w="1275" w:type="dxa"/>
          </w:tcPr>
          <w:p w:rsidR="00F33CB8" w:rsidRPr="00FE3179" w:rsidRDefault="00F33CB8" w:rsidP="00FE3179">
            <w:pPr>
              <w:pStyle w:val="SinglePara"/>
              <w:spacing w:after="120"/>
              <w:jc w:val="center"/>
              <w:rPr>
                <w:rFonts w:cs="Arial"/>
                <w:b/>
                <w:sz w:val="16"/>
                <w:szCs w:val="16"/>
              </w:rPr>
            </w:pPr>
            <w:r w:rsidRPr="00FE3179">
              <w:rPr>
                <w:rFonts w:cs="Arial"/>
                <w:b/>
                <w:sz w:val="16"/>
                <w:szCs w:val="16"/>
              </w:rPr>
              <w:t>Base assumptions</w:t>
            </w:r>
          </w:p>
        </w:tc>
        <w:tc>
          <w:tcPr>
            <w:tcW w:w="1844" w:type="dxa"/>
          </w:tcPr>
          <w:p w:rsidR="00F33CB8" w:rsidRPr="00FE3179" w:rsidRDefault="00F33CB8" w:rsidP="00FE3179">
            <w:pPr>
              <w:pStyle w:val="SinglePara"/>
              <w:spacing w:after="120"/>
              <w:jc w:val="center"/>
              <w:rPr>
                <w:rFonts w:cs="Arial"/>
                <w:b/>
                <w:sz w:val="16"/>
                <w:szCs w:val="16"/>
              </w:rPr>
            </w:pPr>
            <w:r w:rsidRPr="00FE3179">
              <w:rPr>
                <w:rFonts w:cs="Arial"/>
                <w:b/>
                <w:sz w:val="16"/>
                <w:szCs w:val="16"/>
              </w:rPr>
              <w:t xml:space="preserve">Alternative invalidity assumptions </w:t>
            </w:r>
          </w:p>
        </w:tc>
      </w:tr>
      <w:tr w:rsidR="00F33CB8" w:rsidRPr="00E52674" w:rsidTr="00FE3179">
        <w:trPr>
          <w:trHeight w:val="377"/>
          <w:jc w:val="center"/>
        </w:trPr>
        <w:tc>
          <w:tcPr>
            <w:tcW w:w="1000" w:type="dxa"/>
          </w:tcPr>
          <w:p w:rsidR="00F33CB8" w:rsidRPr="00FE3179" w:rsidRDefault="00F33CB8" w:rsidP="00FE3179">
            <w:pPr>
              <w:pStyle w:val="SinglePara"/>
              <w:spacing w:after="120"/>
              <w:jc w:val="center"/>
              <w:rPr>
                <w:rFonts w:cs="Arial"/>
              </w:rPr>
            </w:pPr>
            <w:r w:rsidRPr="00FE3179">
              <w:rPr>
                <w:rFonts w:cs="Arial"/>
              </w:rPr>
              <w:t>60</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0.00646</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0.00840</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0.00601</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0.00781</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61</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0.00679</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0.01086</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0.00631</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0.01010</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62</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0.00711</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0.01422</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0.00664</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0.01328</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63</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0.00757</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0.01893</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0.00682</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0.01705</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64</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0.00804</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0.02412</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0.00693</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0.02079</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65</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0.00851</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0.03404</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0.00704</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0.02816</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66</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0.00898</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0.04490</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0.00715</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0.03575</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67</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0.00944</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0.04720</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0.00726</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0.03630</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68</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0.00991</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0.04955</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0.00737</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0.03685</w:t>
            </w:r>
          </w:p>
        </w:tc>
      </w:tr>
      <w:tr w:rsidR="00F33CB8" w:rsidRPr="00E52674" w:rsidTr="00FE3179">
        <w:trPr>
          <w:jc w:val="center"/>
        </w:trPr>
        <w:tc>
          <w:tcPr>
            <w:tcW w:w="1000" w:type="dxa"/>
          </w:tcPr>
          <w:p w:rsidR="00F33CB8" w:rsidRPr="00FE3179" w:rsidRDefault="00F33CB8" w:rsidP="00FE3179">
            <w:pPr>
              <w:pStyle w:val="SinglePara"/>
              <w:spacing w:after="120"/>
              <w:jc w:val="center"/>
              <w:rPr>
                <w:rFonts w:cs="Arial"/>
              </w:rPr>
            </w:pPr>
            <w:r w:rsidRPr="00FE3179">
              <w:rPr>
                <w:rFonts w:cs="Arial"/>
              </w:rPr>
              <w:t>69</w:t>
            </w:r>
          </w:p>
        </w:tc>
        <w:tc>
          <w:tcPr>
            <w:tcW w:w="1368" w:type="dxa"/>
            <w:vAlign w:val="bottom"/>
          </w:tcPr>
          <w:p w:rsidR="00F33CB8" w:rsidRPr="00FE3179" w:rsidRDefault="00F33CB8" w:rsidP="00FE3179">
            <w:pPr>
              <w:pStyle w:val="SinglePara"/>
              <w:spacing w:after="120"/>
              <w:jc w:val="center"/>
              <w:rPr>
                <w:rFonts w:cs="Arial"/>
              </w:rPr>
            </w:pPr>
            <w:r w:rsidRPr="00FE3179">
              <w:rPr>
                <w:rFonts w:cs="Arial"/>
              </w:rPr>
              <w:t>0.01038</w:t>
            </w:r>
          </w:p>
        </w:tc>
        <w:tc>
          <w:tcPr>
            <w:tcW w:w="1843" w:type="dxa"/>
            <w:vAlign w:val="bottom"/>
          </w:tcPr>
          <w:p w:rsidR="00F33CB8" w:rsidRPr="00FE3179" w:rsidRDefault="00F33CB8" w:rsidP="00FE3179">
            <w:pPr>
              <w:pStyle w:val="SinglePara"/>
              <w:spacing w:after="120"/>
              <w:jc w:val="center"/>
              <w:rPr>
                <w:rFonts w:cs="Arial"/>
              </w:rPr>
            </w:pPr>
            <w:r w:rsidRPr="00FE3179">
              <w:rPr>
                <w:rFonts w:cs="Arial"/>
              </w:rPr>
              <w:t>0.05190</w:t>
            </w:r>
          </w:p>
        </w:tc>
        <w:tc>
          <w:tcPr>
            <w:tcW w:w="1275" w:type="dxa"/>
            <w:vAlign w:val="bottom"/>
          </w:tcPr>
          <w:p w:rsidR="00F33CB8" w:rsidRPr="00FE3179" w:rsidRDefault="00F33CB8" w:rsidP="00FE3179">
            <w:pPr>
              <w:pStyle w:val="SinglePara"/>
              <w:spacing w:after="120"/>
              <w:jc w:val="center"/>
              <w:rPr>
                <w:rFonts w:cs="Arial"/>
              </w:rPr>
            </w:pPr>
            <w:r w:rsidRPr="00FE3179">
              <w:rPr>
                <w:rFonts w:cs="Arial"/>
              </w:rPr>
              <w:t>0.00748</w:t>
            </w:r>
          </w:p>
        </w:tc>
        <w:tc>
          <w:tcPr>
            <w:tcW w:w="1844" w:type="dxa"/>
            <w:vAlign w:val="bottom"/>
          </w:tcPr>
          <w:p w:rsidR="00F33CB8" w:rsidRPr="00FE3179" w:rsidRDefault="00F33CB8" w:rsidP="00FE3179">
            <w:pPr>
              <w:pStyle w:val="SinglePara"/>
              <w:spacing w:after="120"/>
              <w:jc w:val="center"/>
              <w:rPr>
                <w:rFonts w:cs="Arial"/>
              </w:rPr>
            </w:pPr>
            <w:r w:rsidRPr="00FE3179">
              <w:rPr>
                <w:rFonts w:cs="Arial"/>
              </w:rPr>
              <w:t>0.03740</w:t>
            </w:r>
          </w:p>
        </w:tc>
      </w:tr>
    </w:tbl>
    <w:p w:rsidR="00AD2419" w:rsidRDefault="00AD2419" w:rsidP="00A009D6">
      <w:pPr>
        <w:pStyle w:val="BodyText"/>
      </w:pPr>
      <w:r>
        <w:t>Under these alternative invalidity rate assumptions, approximately 30</w:t>
      </w:r>
      <w:r w:rsidR="00566E61">
        <w:t xml:space="preserve"> per cent</w:t>
      </w:r>
      <w:r>
        <w:t xml:space="preserve"> of exits</w:t>
      </w:r>
      <w:r w:rsidR="00E527BF">
        <w:t xml:space="preserve"> from the Scheme w</w:t>
      </w:r>
      <w:r w:rsidR="00764F83">
        <w:t xml:space="preserve">ould </w:t>
      </w:r>
      <w:r w:rsidR="00E527BF">
        <w:t>be due to invalidity retir</w:t>
      </w:r>
      <w:r w:rsidR="00566E61">
        <w:t>ements, compared with around 10 per cent</w:t>
      </w:r>
      <w:r w:rsidR="00E527BF">
        <w:t xml:space="preserve"> under the base invalidity assumptions. </w:t>
      </w:r>
      <w:r>
        <w:t xml:space="preserve"> </w:t>
      </w:r>
    </w:p>
    <w:p w:rsidR="00164781" w:rsidRDefault="00F46D22" w:rsidP="00FD53EF">
      <w:pPr>
        <w:pStyle w:val="BodyText"/>
        <w:keepNext/>
      </w:pPr>
      <w:r>
        <w:lastRenderedPageBreak/>
        <w:t>T</w:t>
      </w:r>
      <w:r w:rsidR="00650D8B">
        <w:t xml:space="preserve">he sensitivity of the premium and cash costs to a change in </w:t>
      </w:r>
      <w:r w:rsidR="00D255EB">
        <w:t xml:space="preserve">the assumed </w:t>
      </w:r>
      <w:r>
        <w:t xml:space="preserve">invalidity rates </w:t>
      </w:r>
      <w:r w:rsidR="00D255EB">
        <w:t>are outlined in the table below:</w:t>
      </w:r>
    </w:p>
    <w:tbl>
      <w:tblPr>
        <w:tblW w:w="8886"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955"/>
        <w:gridCol w:w="1276"/>
        <w:gridCol w:w="1275"/>
        <w:gridCol w:w="1276"/>
        <w:gridCol w:w="1553"/>
        <w:gridCol w:w="1276"/>
        <w:gridCol w:w="1275"/>
      </w:tblGrid>
      <w:tr w:rsidR="006761E6" w:rsidTr="00FE3179">
        <w:trPr>
          <w:trHeight w:val="437"/>
          <w:jc w:val="center"/>
        </w:trPr>
        <w:tc>
          <w:tcPr>
            <w:tcW w:w="955" w:type="dxa"/>
          </w:tcPr>
          <w:p w:rsidR="006761E6" w:rsidRPr="00FE3179" w:rsidRDefault="006761E6" w:rsidP="00FE3179">
            <w:pPr>
              <w:pStyle w:val="SinglePara"/>
              <w:keepNext/>
              <w:spacing w:after="120"/>
              <w:jc w:val="center"/>
              <w:rPr>
                <w:rFonts w:cs="Arial"/>
              </w:rPr>
            </w:pPr>
          </w:p>
        </w:tc>
        <w:tc>
          <w:tcPr>
            <w:tcW w:w="7931" w:type="dxa"/>
            <w:gridSpan w:val="6"/>
          </w:tcPr>
          <w:p w:rsidR="006761E6" w:rsidRPr="00FE3179" w:rsidRDefault="006761E6" w:rsidP="00FE3179">
            <w:pPr>
              <w:keepNext/>
              <w:jc w:val="center"/>
              <w:rPr>
                <w:rFonts w:cs="Arial"/>
                <w:b/>
                <w:sz w:val="24"/>
                <w:szCs w:val="24"/>
              </w:rPr>
            </w:pPr>
            <w:r w:rsidRPr="00FE3179">
              <w:rPr>
                <w:rFonts w:cs="Arial"/>
                <w:b/>
                <w:sz w:val="24"/>
                <w:szCs w:val="24"/>
              </w:rPr>
              <w:t xml:space="preserve">PROJECTED </w:t>
            </w:r>
            <w:r w:rsidRPr="00FE3179">
              <w:rPr>
                <w:b/>
                <w:sz w:val="24"/>
                <w:szCs w:val="24"/>
              </w:rPr>
              <w:t xml:space="preserve">COSTS </w:t>
            </w:r>
            <w:r w:rsidR="00FB722D" w:rsidRPr="00FE3179">
              <w:rPr>
                <w:b/>
                <w:sz w:val="24"/>
                <w:szCs w:val="24"/>
              </w:rPr>
              <w:t xml:space="preserve">FOR SERVING MEMBERS </w:t>
            </w:r>
            <w:r w:rsidRPr="00FE3179">
              <w:rPr>
                <w:b/>
                <w:sz w:val="24"/>
                <w:szCs w:val="24"/>
              </w:rPr>
              <w:t>AS AT 30 JUNE 201</w:t>
            </w:r>
            <w:r w:rsidR="00566E61">
              <w:rPr>
                <w:b/>
                <w:sz w:val="24"/>
                <w:szCs w:val="24"/>
              </w:rPr>
              <w:t>4</w:t>
            </w:r>
          </w:p>
        </w:tc>
      </w:tr>
      <w:tr w:rsidR="006761E6" w:rsidTr="00FE3179">
        <w:trPr>
          <w:trHeight w:val="437"/>
          <w:jc w:val="center"/>
        </w:trPr>
        <w:tc>
          <w:tcPr>
            <w:tcW w:w="955" w:type="dxa"/>
          </w:tcPr>
          <w:p w:rsidR="006761E6" w:rsidRPr="00FE3179" w:rsidRDefault="006761E6" w:rsidP="00FE3179">
            <w:pPr>
              <w:pStyle w:val="SinglePara"/>
              <w:keepNext/>
              <w:spacing w:after="120"/>
              <w:jc w:val="center"/>
              <w:rPr>
                <w:rFonts w:cs="Arial"/>
              </w:rPr>
            </w:pPr>
          </w:p>
        </w:tc>
        <w:tc>
          <w:tcPr>
            <w:tcW w:w="2551" w:type="dxa"/>
            <w:gridSpan w:val="2"/>
          </w:tcPr>
          <w:p w:rsidR="006761E6" w:rsidRPr="00FE3179" w:rsidRDefault="006761E6" w:rsidP="00FE3179">
            <w:pPr>
              <w:pStyle w:val="SinglePara"/>
              <w:keepNext/>
              <w:spacing w:after="120"/>
              <w:jc w:val="center"/>
              <w:rPr>
                <w:rFonts w:cs="Arial"/>
                <w:b/>
              </w:rPr>
            </w:pPr>
            <w:r w:rsidRPr="00FE3179">
              <w:rPr>
                <w:rFonts w:cs="Arial"/>
                <w:b/>
              </w:rPr>
              <w:t xml:space="preserve">Premium costs </w:t>
            </w:r>
            <w:r w:rsidRPr="00FE3179">
              <w:rPr>
                <w:rFonts w:cs="Arial"/>
                <w:b/>
              </w:rPr>
              <w:br/>
              <w:t>(</w:t>
            </w:r>
            <w:r w:rsidR="00B178B9" w:rsidRPr="00FE3179">
              <w:rPr>
                <w:rFonts w:cs="Arial"/>
                <w:b/>
              </w:rPr>
              <w:t>$000s</w:t>
            </w:r>
            <w:r w:rsidR="00B3250B" w:rsidRPr="00FE3179">
              <w:rPr>
                <w:rFonts w:cs="Arial"/>
                <w:b/>
              </w:rPr>
              <w:t>)</w:t>
            </w:r>
          </w:p>
        </w:tc>
        <w:tc>
          <w:tcPr>
            <w:tcW w:w="2829" w:type="dxa"/>
            <w:gridSpan w:val="2"/>
          </w:tcPr>
          <w:p w:rsidR="006761E6" w:rsidRPr="00FE3179" w:rsidRDefault="006761E6" w:rsidP="00FE3179">
            <w:pPr>
              <w:pStyle w:val="SinglePara"/>
              <w:keepNext/>
              <w:spacing w:after="120"/>
              <w:jc w:val="center"/>
              <w:rPr>
                <w:rFonts w:cs="Arial"/>
                <w:b/>
              </w:rPr>
            </w:pPr>
            <w:r w:rsidRPr="00FE3179">
              <w:rPr>
                <w:rFonts w:cs="Arial"/>
                <w:b/>
              </w:rPr>
              <w:t xml:space="preserve">Premiums </w:t>
            </w:r>
            <w:r w:rsidRPr="00FE3179">
              <w:rPr>
                <w:rFonts w:cs="Arial"/>
                <w:b/>
              </w:rPr>
              <w:br/>
              <w:t>(as % of salaries)</w:t>
            </w:r>
          </w:p>
        </w:tc>
        <w:tc>
          <w:tcPr>
            <w:tcW w:w="2551" w:type="dxa"/>
            <w:gridSpan w:val="2"/>
          </w:tcPr>
          <w:p w:rsidR="006761E6" w:rsidRPr="00FE3179" w:rsidRDefault="006761E6" w:rsidP="00FE3179">
            <w:pPr>
              <w:pStyle w:val="SinglePara"/>
              <w:keepNext/>
              <w:spacing w:after="120"/>
              <w:jc w:val="center"/>
              <w:rPr>
                <w:rFonts w:cs="Arial"/>
                <w:b/>
              </w:rPr>
            </w:pPr>
            <w:r w:rsidRPr="00FE3179">
              <w:rPr>
                <w:rFonts w:cs="Arial"/>
                <w:b/>
              </w:rPr>
              <w:t xml:space="preserve">Cash costs </w:t>
            </w:r>
            <w:r w:rsidR="00DA6978">
              <w:rPr>
                <w:rFonts w:cs="Arial"/>
                <w:b/>
              </w:rPr>
              <w:t>*</w:t>
            </w:r>
            <w:r w:rsidRPr="00FE3179">
              <w:rPr>
                <w:rFonts w:cs="Arial"/>
                <w:b/>
              </w:rPr>
              <w:br/>
              <w:t>(</w:t>
            </w:r>
            <w:r w:rsidR="00B178B9" w:rsidRPr="00FE3179">
              <w:rPr>
                <w:rFonts w:cs="Arial"/>
                <w:b/>
              </w:rPr>
              <w:t>$000s</w:t>
            </w:r>
            <w:r w:rsidRPr="00FE3179">
              <w:rPr>
                <w:rFonts w:cs="Arial"/>
                <w:b/>
              </w:rPr>
              <w:t>)</w:t>
            </w:r>
          </w:p>
        </w:tc>
      </w:tr>
      <w:tr w:rsidR="00DD4090" w:rsidTr="00FE3179">
        <w:trPr>
          <w:trHeight w:val="742"/>
          <w:jc w:val="center"/>
        </w:trPr>
        <w:tc>
          <w:tcPr>
            <w:tcW w:w="955" w:type="dxa"/>
          </w:tcPr>
          <w:p w:rsidR="00DD4090" w:rsidRPr="00FE3179" w:rsidRDefault="00DD4090" w:rsidP="00FE3179">
            <w:pPr>
              <w:pStyle w:val="SinglePara"/>
              <w:keepNext/>
              <w:spacing w:after="120"/>
              <w:jc w:val="center"/>
              <w:rPr>
                <w:rFonts w:cs="Arial"/>
              </w:rPr>
            </w:pPr>
          </w:p>
        </w:tc>
        <w:tc>
          <w:tcPr>
            <w:tcW w:w="1276"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Base assumptions</w:t>
            </w:r>
          </w:p>
        </w:tc>
        <w:tc>
          <w:tcPr>
            <w:tcW w:w="1275"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 xml:space="preserve">Alternative invalidity assumptions </w:t>
            </w:r>
          </w:p>
        </w:tc>
        <w:tc>
          <w:tcPr>
            <w:tcW w:w="1276"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Base assumptions</w:t>
            </w:r>
          </w:p>
        </w:tc>
        <w:tc>
          <w:tcPr>
            <w:tcW w:w="1553"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 xml:space="preserve">Alternative invalidity assumptions </w:t>
            </w:r>
          </w:p>
        </w:tc>
        <w:tc>
          <w:tcPr>
            <w:tcW w:w="1276"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Base assumptions</w:t>
            </w:r>
          </w:p>
        </w:tc>
        <w:tc>
          <w:tcPr>
            <w:tcW w:w="1275" w:type="dxa"/>
          </w:tcPr>
          <w:p w:rsidR="00DD4090" w:rsidRPr="00FE3179" w:rsidRDefault="00DD4090" w:rsidP="00FE3179">
            <w:pPr>
              <w:pStyle w:val="SinglePara"/>
              <w:keepNext/>
              <w:spacing w:after="120"/>
              <w:jc w:val="center"/>
              <w:rPr>
                <w:rFonts w:cs="Arial"/>
                <w:b/>
                <w:sz w:val="16"/>
                <w:szCs w:val="16"/>
              </w:rPr>
            </w:pPr>
            <w:r w:rsidRPr="00FE3179">
              <w:rPr>
                <w:rFonts w:cs="Arial"/>
                <w:b/>
                <w:sz w:val="16"/>
                <w:szCs w:val="16"/>
              </w:rPr>
              <w:t xml:space="preserve">Alternative invalidity assumptions </w:t>
            </w:r>
          </w:p>
        </w:tc>
      </w:tr>
      <w:tr w:rsidR="00566E61" w:rsidRPr="00E52674" w:rsidTr="00FE3179">
        <w:trPr>
          <w:trHeight w:val="377"/>
          <w:jc w:val="center"/>
        </w:trPr>
        <w:tc>
          <w:tcPr>
            <w:tcW w:w="955" w:type="dxa"/>
            <w:vAlign w:val="center"/>
          </w:tcPr>
          <w:p w:rsidR="00566E61" w:rsidRPr="00FE3179" w:rsidRDefault="00566E61" w:rsidP="00566E61">
            <w:pPr>
              <w:pStyle w:val="SinglePara"/>
              <w:keepNext/>
              <w:spacing w:after="120"/>
              <w:jc w:val="center"/>
              <w:rPr>
                <w:rFonts w:cs="Arial"/>
              </w:rPr>
            </w:pPr>
            <w:r w:rsidRPr="00FE3179">
              <w:rPr>
                <w:rFonts w:cs="Arial"/>
              </w:rPr>
              <w:t>2014-15</w:t>
            </w:r>
          </w:p>
        </w:tc>
        <w:tc>
          <w:tcPr>
            <w:tcW w:w="1276" w:type="dxa"/>
            <w:vAlign w:val="bottom"/>
          </w:tcPr>
          <w:p w:rsidR="00566E61" w:rsidRPr="00FE3179" w:rsidRDefault="00566E61" w:rsidP="00FE3179">
            <w:pPr>
              <w:pStyle w:val="SinglePara"/>
              <w:keepNext/>
              <w:spacing w:after="120"/>
              <w:ind w:right="240"/>
              <w:jc w:val="right"/>
              <w:rPr>
                <w:rFonts w:cs="Arial"/>
              </w:rPr>
            </w:pPr>
            <w:r w:rsidRPr="00FE3179">
              <w:rPr>
                <w:rFonts w:cs="Arial"/>
              </w:rPr>
              <w:t>608</w:t>
            </w:r>
          </w:p>
        </w:tc>
        <w:tc>
          <w:tcPr>
            <w:tcW w:w="1275" w:type="dxa"/>
            <w:vAlign w:val="bottom"/>
          </w:tcPr>
          <w:p w:rsidR="00566E61" w:rsidRPr="00FE3179" w:rsidRDefault="00566E61" w:rsidP="00FE3179">
            <w:pPr>
              <w:pStyle w:val="SinglePara"/>
              <w:keepNext/>
              <w:spacing w:after="120"/>
              <w:ind w:right="239"/>
              <w:jc w:val="right"/>
              <w:rPr>
                <w:rFonts w:cs="Arial"/>
              </w:rPr>
            </w:pPr>
            <w:r>
              <w:rPr>
                <w:rFonts w:cs="Arial"/>
              </w:rPr>
              <w:t>855</w:t>
            </w:r>
          </w:p>
        </w:tc>
        <w:tc>
          <w:tcPr>
            <w:tcW w:w="1276" w:type="dxa"/>
            <w:vAlign w:val="bottom"/>
          </w:tcPr>
          <w:p w:rsidR="00566E61" w:rsidRPr="00FE3179" w:rsidRDefault="00566E61" w:rsidP="00FE3179">
            <w:pPr>
              <w:pStyle w:val="SinglePara"/>
              <w:keepNext/>
              <w:spacing w:after="120"/>
              <w:jc w:val="center"/>
              <w:rPr>
                <w:rFonts w:cs="Arial"/>
              </w:rPr>
            </w:pPr>
            <w:r>
              <w:rPr>
                <w:rFonts w:cs="Arial"/>
              </w:rPr>
              <w:t>2.6</w:t>
            </w:r>
          </w:p>
        </w:tc>
        <w:tc>
          <w:tcPr>
            <w:tcW w:w="1553" w:type="dxa"/>
            <w:vAlign w:val="bottom"/>
          </w:tcPr>
          <w:p w:rsidR="00566E61" w:rsidRPr="00FE3179" w:rsidRDefault="00566E61" w:rsidP="00FE3179">
            <w:pPr>
              <w:pStyle w:val="SinglePara"/>
              <w:keepNext/>
              <w:spacing w:after="120"/>
              <w:jc w:val="center"/>
              <w:rPr>
                <w:rFonts w:cs="Arial"/>
              </w:rPr>
            </w:pPr>
            <w:r>
              <w:rPr>
                <w:rFonts w:cs="Arial"/>
              </w:rPr>
              <w:t>3.7</w:t>
            </w:r>
          </w:p>
        </w:tc>
        <w:tc>
          <w:tcPr>
            <w:tcW w:w="1276" w:type="dxa"/>
            <w:vAlign w:val="bottom"/>
          </w:tcPr>
          <w:p w:rsidR="00566E61" w:rsidRPr="00FE3179" w:rsidRDefault="00566E61" w:rsidP="00FE3179">
            <w:pPr>
              <w:pStyle w:val="SinglePara"/>
              <w:keepNext/>
              <w:spacing w:after="120"/>
              <w:ind w:right="240"/>
              <w:jc w:val="right"/>
              <w:rPr>
                <w:rFonts w:cs="Arial"/>
              </w:rPr>
            </w:pPr>
            <w:r>
              <w:rPr>
                <w:rFonts w:cs="Arial"/>
              </w:rPr>
              <w:t>67</w:t>
            </w:r>
          </w:p>
        </w:tc>
        <w:tc>
          <w:tcPr>
            <w:tcW w:w="1275" w:type="dxa"/>
            <w:vAlign w:val="bottom"/>
          </w:tcPr>
          <w:p w:rsidR="00566E61" w:rsidRPr="00FE3179" w:rsidRDefault="00566E61" w:rsidP="00FE3179">
            <w:pPr>
              <w:pStyle w:val="SinglePara"/>
              <w:keepNext/>
              <w:spacing w:after="120"/>
              <w:ind w:right="239"/>
              <w:jc w:val="right"/>
              <w:rPr>
                <w:rFonts w:cs="Arial"/>
              </w:rPr>
            </w:pPr>
            <w:r>
              <w:rPr>
                <w:rFonts w:cs="Arial"/>
              </w:rPr>
              <w:t>119</w:t>
            </w:r>
          </w:p>
        </w:tc>
      </w:tr>
      <w:tr w:rsidR="00566E61" w:rsidRPr="00E52674" w:rsidTr="00FE3179">
        <w:trPr>
          <w:jc w:val="center"/>
        </w:trPr>
        <w:tc>
          <w:tcPr>
            <w:tcW w:w="955" w:type="dxa"/>
            <w:vAlign w:val="center"/>
          </w:tcPr>
          <w:p w:rsidR="00566E61" w:rsidRPr="00FE3179" w:rsidRDefault="00566E61" w:rsidP="00566E61">
            <w:pPr>
              <w:pStyle w:val="SinglePara"/>
              <w:keepNext/>
              <w:spacing w:after="120"/>
              <w:jc w:val="center"/>
              <w:rPr>
                <w:rFonts w:cs="Arial"/>
              </w:rPr>
            </w:pPr>
            <w:r w:rsidRPr="00FE3179">
              <w:rPr>
                <w:rFonts w:cs="Arial"/>
              </w:rPr>
              <w:t>2015-16</w:t>
            </w:r>
          </w:p>
        </w:tc>
        <w:tc>
          <w:tcPr>
            <w:tcW w:w="1276" w:type="dxa"/>
            <w:vAlign w:val="bottom"/>
          </w:tcPr>
          <w:p w:rsidR="00566E61" w:rsidRPr="00FE3179" w:rsidRDefault="00566E61" w:rsidP="00FE3179">
            <w:pPr>
              <w:pStyle w:val="SinglePara"/>
              <w:keepNext/>
              <w:spacing w:after="120"/>
              <w:ind w:right="240"/>
              <w:jc w:val="right"/>
              <w:rPr>
                <w:rFonts w:cs="Arial"/>
              </w:rPr>
            </w:pPr>
            <w:r>
              <w:rPr>
                <w:rFonts w:cs="Arial"/>
              </w:rPr>
              <w:t>632</w:t>
            </w:r>
          </w:p>
        </w:tc>
        <w:tc>
          <w:tcPr>
            <w:tcW w:w="1275" w:type="dxa"/>
            <w:vAlign w:val="bottom"/>
          </w:tcPr>
          <w:p w:rsidR="00566E61" w:rsidRPr="00FE3179" w:rsidRDefault="00566E61" w:rsidP="00FE3179">
            <w:pPr>
              <w:pStyle w:val="SinglePara"/>
              <w:keepNext/>
              <w:spacing w:after="120"/>
              <w:ind w:right="239"/>
              <w:jc w:val="right"/>
              <w:rPr>
                <w:rFonts w:cs="Arial"/>
              </w:rPr>
            </w:pPr>
            <w:r>
              <w:rPr>
                <w:rFonts w:cs="Arial"/>
              </w:rPr>
              <w:t>897</w:t>
            </w:r>
          </w:p>
        </w:tc>
        <w:tc>
          <w:tcPr>
            <w:tcW w:w="1276" w:type="dxa"/>
            <w:vAlign w:val="bottom"/>
          </w:tcPr>
          <w:p w:rsidR="00566E61" w:rsidRPr="00FE3179" w:rsidRDefault="00566E61" w:rsidP="00FE3179">
            <w:pPr>
              <w:pStyle w:val="SinglePara"/>
              <w:keepNext/>
              <w:spacing w:after="120"/>
              <w:jc w:val="center"/>
              <w:rPr>
                <w:rFonts w:cs="Arial"/>
              </w:rPr>
            </w:pPr>
            <w:r>
              <w:rPr>
                <w:rFonts w:cs="Arial"/>
              </w:rPr>
              <w:t>2.6</w:t>
            </w:r>
          </w:p>
        </w:tc>
        <w:tc>
          <w:tcPr>
            <w:tcW w:w="1553" w:type="dxa"/>
            <w:vAlign w:val="bottom"/>
          </w:tcPr>
          <w:p w:rsidR="00566E61" w:rsidRPr="00FE3179" w:rsidRDefault="00566E61" w:rsidP="00FE3179">
            <w:pPr>
              <w:pStyle w:val="SinglePara"/>
              <w:keepNext/>
              <w:spacing w:after="120"/>
              <w:jc w:val="center"/>
              <w:rPr>
                <w:rFonts w:cs="Arial"/>
              </w:rPr>
            </w:pPr>
            <w:r>
              <w:rPr>
                <w:rFonts w:cs="Arial"/>
              </w:rPr>
              <w:t>3.7</w:t>
            </w:r>
          </w:p>
        </w:tc>
        <w:tc>
          <w:tcPr>
            <w:tcW w:w="1276" w:type="dxa"/>
            <w:vAlign w:val="bottom"/>
          </w:tcPr>
          <w:p w:rsidR="00566E61" w:rsidRPr="00FE3179" w:rsidRDefault="00566E61" w:rsidP="00FE3179">
            <w:pPr>
              <w:pStyle w:val="SinglePara"/>
              <w:keepNext/>
              <w:spacing w:after="120"/>
              <w:ind w:right="240"/>
              <w:jc w:val="right"/>
              <w:rPr>
                <w:rFonts w:cs="Arial"/>
              </w:rPr>
            </w:pPr>
            <w:r>
              <w:rPr>
                <w:rFonts w:cs="Arial"/>
              </w:rPr>
              <w:t>141</w:t>
            </w:r>
          </w:p>
        </w:tc>
        <w:tc>
          <w:tcPr>
            <w:tcW w:w="1275" w:type="dxa"/>
            <w:vAlign w:val="bottom"/>
          </w:tcPr>
          <w:p w:rsidR="00566E61" w:rsidRPr="00FE3179" w:rsidRDefault="00566E61" w:rsidP="00FE3179">
            <w:pPr>
              <w:pStyle w:val="SinglePara"/>
              <w:keepNext/>
              <w:spacing w:after="120"/>
              <w:ind w:right="239"/>
              <w:jc w:val="right"/>
              <w:rPr>
                <w:rFonts w:cs="Arial"/>
              </w:rPr>
            </w:pPr>
            <w:r>
              <w:rPr>
                <w:rFonts w:cs="Arial"/>
              </w:rPr>
              <w:t>244</w:t>
            </w:r>
          </w:p>
        </w:tc>
      </w:tr>
      <w:tr w:rsidR="00566E61" w:rsidRPr="00E52674" w:rsidTr="00FE3179">
        <w:trPr>
          <w:jc w:val="center"/>
        </w:trPr>
        <w:tc>
          <w:tcPr>
            <w:tcW w:w="955" w:type="dxa"/>
            <w:vAlign w:val="center"/>
          </w:tcPr>
          <w:p w:rsidR="00566E61" w:rsidRPr="00FE3179" w:rsidRDefault="00566E61" w:rsidP="00566E61">
            <w:pPr>
              <w:pStyle w:val="SinglePara"/>
              <w:keepNext/>
              <w:spacing w:after="120"/>
              <w:jc w:val="center"/>
              <w:rPr>
                <w:rFonts w:cs="Arial"/>
              </w:rPr>
            </w:pPr>
            <w:r>
              <w:rPr>
                <w:rFonts w:cs="Arial"/>
              </w:rPr>
              <w:t>2016-17</w:t>
            </w:r>
          </w:p>
        </w:tc>
        <w:tc>
          <w:tcPr>
            <w:tcW w:w="1276" w:type="dxa"/>
            <w:vAlign w:val="bottom"/>
          </w:tcPr>
          <w:p w:rsidR="00566E61" w:rsidRPr="00FE3179" w:rsidRDefault="00566E61" w:rsidP="00FE3179">
            <w:pPr>
              <w:pStyle w:val="SinglePara"/>
              <w:keepNext/>
              <w:spacing w:after="120"/>
              <w:ind w:right="240"/>
              <w:jc w:val="right"/>
              <w:rPr>
                <w:rFonts w:cs="Arial"/>
              </w:rPr>
            </w:pPr>
            <w:r>
              <w:rPr>
                <w:rFonts w:cs="Arial"/>
              </w:rPr>
              <w:t>694</w:t>
            </w:r>
          </w:p>
        </w:tc>
        <w:tc>
          <w:tcPr>
            <w:tcW w:w="1275" w:type="dxa"/>
            <w:vAlign w:val="bottom"/>
          </w:tcPr>
          <w:p w:rsidR="00566E61" w:rsidRPr="00FE3179" w:rsidRDefault="00566E61" w:rsidP="00FE3179">
            <w:pPr>
              <w:pStyle w:val="SinglePara"/>
              <w:keepNext/>
              <w:spacing w:after="120"/>
              <w:ind w:right="239"/>
              <w:jc w:val="right"/>
              <w:rPr>
                <w:rFonts w:cs="Arial"/>
              </w:rPr>
            </w:pPr>
            <w:r>
              <w:rPr>
                <w:rFonts w:cs="Arial"/>
              </w:rPr>
              <w:t>1,006</w:t>
            </w:r>
          </w:p>
        </w:tc>
        <w:tc>
          <w:tcPr>
            <w:tcW w:w="1276" w:type="dxa"/>
            <w:vAlign w:val="bottom"/>
          </w:tcPr>
          <w:p w:rsidR="00566E61" w:rsidRPr="00FE3179" w:rsidRDefault="00566E61" w:rsidP="00FE3179">
            <w:pPr>
              <w:pStyle w:val="SinglePara"/>
              <w:keepNext/>
              <w:spacing w:after="120"/>
              <w:jc w:val="center"/>
              <w:rPr>
                <w:rFonts w:cs="Arial"/>
              </w:rPr>
            </w:pPr>
            <w:r>
              <w:rPr>
                <w:rFonts w:cs="Arial"/>
              </w:rPr>
              <w:t>2.8</w:t>
            </w:r>
          </w:p>
        </w:tc>
        <w:tc>
          <w:tcPr>
            <w:tcW w:w="1553" w:type="dxa"/>
            <w:vAlign w:val="bottom"/>
          </w:tcPr>
          <w:p w:rsidR="00566E61" w:rsidRPr="00FE3179" w:rsidRDefault="00566E61" w:rsidP="00FE3179">
            <w:pPr>
              <w:pStyle w:val="SinglePara"/>
              <w:keepNext/>
              <w:spacing w:after="120"/>
              <w:jc w:val="center"/>
              <w:rPr>
                <w:rFonts w:cs="Arial"/>
              </w:rPr>
            </w:pPr>
            <w:r>
              <w:rPr>
                <w:rFonts w:cs="Arial"/>
              </w:rPr>
              <w:t>4.</w:t>
            </w:r>
            <w:r w:rsidR="00DC7E83">
              <w:rPr>
                <w:rFonts w:cs="Arial"/>
              </w:rPr>
              <w:t>0</w:t>
            </w:r>
          </w:p>
        </w:tc>
        <w:tc>
          <w:tcPr>
            <w:tcW w:w="1276" w:type="dxa"/>
            <w:vAlign w:val="bottom"/>
          </w:tcPr>
          <w:p w:rsidR="00566E61" w:rsidRPr="00FE3179" w:rsidRDefault="00DC7E83" w:rsidP="00FE3179">
            <w:pPr>
              <w:pStyle w:val="SinglePara"/>
              <w:keepNext/>
              <w:spacing w:after="120"/>
              <w:ind w:right="240"/>
              <w:jc w:val="right"/>
              <w:rPr>
                <w:rFonts w:cs="Arial"/>
              </w:rPr>
            </w:pPr>
            <w:r>
              <w:rPr>
                <w:rFonts w:cs="Arial"/>
              </w:rPr>
              <w:t>219</w:t>
            </w:r>
          </w:p>
        </w:tc>
        <w:tc>
          <w:tcPr>
            <w:tcW w:w="1275" w:type="dxa"/>
            <w:vAlign w:val="bottom"/>
          </w:tcPr>
          <w:p w:rsidR="00566E61" w:rsidRPr="00FE3179" w:rsidRDefault="00DC7E83" w:rsidP="00FE3179">
            <w:pPr>
              <w:pStyle w:val="SinglePara"/>
              <w:keepNext/>
              <w:spacing w:after="120"/>
              <w:ind w:right="239"/>
              <w:jc w:val="right"/>
              <w:rPr>
                <w:rFonts w:cs="Arial"/>
              </w:rPr>
            </w:pPr>
            <w:r>
              <w:rPr>
                <w:rFonts w:cs="Arial"/>
              </w:rPr>
              <w:t>356</w:t>
            </w:r>
          </w:p>
        </w:tc>
      </w:tr>
      <w:tr w:rsidR="00566E61" w:rsidRPr="00E52674" w:rsidTr="00FE3179">
        <w:trPr>
          <w:jc w:val="center"/>
        </w:trPr>
        <w:tc>
          <w:tcPr>
            <w:tcW w:w="955" w:type="dxa"/>
            <w:vAlign w:val="center"/>
          </w:tcPr>
          <w:p w:rsidR="00566E61" w:rsidRPr="00FE3179" w:rsidRDefault="00566E61" w:rsidP="00566E61">
            <w:pPr>
              <w:pStyle w:val="SinglePara"/>
              <w:keepNext/>
              <w:spacing w:after="120"/>
              <w:jc w:val="center"/>
              <w:rPr>
                <w:rFonts w:cs="Arial"/>
              </w:rPr>
            </w:pPr>
            <w:r>
              <w:rPr>
                <w:rFonts w:cs="Arial"/>
              </w:rPr>
              <w:t>2017-18</w:t>
            </w:r>
          </w:p>
        </w:tc>
        <w:tc>
          <w:tcPr>
            <w:tcW w:w="1276" w:type="dxa"/>
            <w:vAlign w:val="bottom"/>
          </w:tcPr>
          <w:p w:rsidR="00566E61" w:rsidRPr="00FE3179" w:rsidRDefault="007E7D2E" w:rsidP="00FE3179">
            <w:pPr>
              <w:pStyle w:val="SinglePara"/>
              <w:keepNext/>
              <w:spacing w:after="120"/>
              <w:ind w:right="240"/>
              <w:jc w:val="right"/>
              <w:rPr>
                <w:rFonts w:cs="Arial"/>
              </w:rPr>
            </w:pPr>
            <w:r>
              <w:rPr>
                <w:rFonts w:cs="Arial"/>
              </w:rPr>
              <w:t>728</w:t>
            </w:r>
          </w:p>
        </w:tc>
        <w:tc>
          <w:tcPr>
            <w:tcW w:w="1275" w:type="dxa"/>
            <w:vAlign w:val="bottom"/>
          </w:tcPr>
          <w:p w:rsidR="00566E61" w:rsidRPr="00FE3179" w:rsidRDefault="00DC7E83" w:rsidP="00FE3179">
            <w:pPr>
              <w:pStyle w:val="SinglePara"/>
              <w:keepNext/>
              <w:spacing w:after="120"/>
              <w:ind w:right="239"/>
              <w:jc w:val="right"/>
              <w:rPr>
                <w:rFonts w:cs="Arial"/>
              </w:rPr>
            </w:pPr>
            <w:r>
              <w:rPr>
                <w:rFonts w:cs="Arial"/>
              </w:rPr>
              <w:t>1,091</w:t>
            </w:r>
          </w:p>
        </w:tc>
        <w:tc>
          <w:tcPr>
            <w:tcW w:w="1276" w:type="dxa"/>
            <w:vAlign w:val="bottom"/>
          </w:tcPr>
          <w:p w:rsidR="00566E61" w:rsidRPr="00FE3179" w:rsidRDefault="00E67E3E" w:rsidP="00FE3179">
            <w:pPr>
              <w:pStyle w:val="SinglePara"/>
              <w:keepNext/>
              <w:spacing w:after="120"/>
              <w:jc w:val="center"/>
              <w:rPr>
                <w:rFonts w:cs="Arial"/>
              </w:rPr>
            </w:pPr>
            <w:r>
              <w:rPr>
                <w:rFonts w:cs="Arial"/>
              </w:rPr>
              <w:t>2.</w:t>
            </w:r>
            <w:r w:rsidR="00DC7E83">
              <w:rPr>
                <w:rFonts w:cs="Arial"/>
              </w:rPr>
              <w:t>8</w:t>
            </w:r>
          </w:p>
        </w:tc>
        <w:tc>
          <w:tcPr>
            <w:tcW w:w="1553" w:type="dxa"/>
            <w:vAlign w:val="bottom"/>
          </w:tcPr>
          <w:p w:rsidR="00566E61" w:rsidRPr="00FE3179" w:rsidRDefault="00E67E3E" w:rsidP="00FE3179">
            <w:pPr>
              <w:pStyle w:val="SinglePara"/>
              <w:keepNext/>
              <w:spacing w:after="120"/>
              <w:jc w:val="center"/>
              <w:rPr>
                <w:rFonts w:cs="Arial"/>
              </w:rPr>
            </w:pPr>
            <w:r>
              <w:rPr>
                <w:rFonts w:cs="Arial"/>
              </w:rPr>
              <w:t>4.2</w:t>
            </w:r>
          </w:p>
        </w:tc>
        <w:tc>
          <w:tcPr>
            <w:tcW w:w="1276" w:type="dxa"/>
            <w:vAlign w:val="bottom"/>
          </w:tcPr>
          <w:p w:rsidR="00566E61" w:rsidRPr="00FE3179" w:rsidRDefault="00DC7E83" w:rsidP="00FE3179">
            <w:pPr>
              <w:pStyle w:val="SinglePara"/>
              <w:keepNext/>
              <w:spacing w:after="120"/>
              <w:ind w:right="240"/>
              <w:jc w:val="right"/>
              <w:rPr>
                <w:rFonts w:cs="Arial"/>
              </w:rPr>
            </w:pPr>
            <w:r>
              <w:rPr>
                <w:rFonts w:cs="Arial"/>
              </w:rPr>
              <w:t>314</w:t>
            </w:r>
          </w:p>
        </w:tc>
        <w:tc>
          <w:tcPr>
            <w:tcW w:w="1275" w:type="dxa"/>
            <w:vAlign w:val="bottom"/>
          </w:tcPr>
          <w:p w:rsidR="00566E61" w:rsidRPr="00FE3179" w:rsidRDefault="00DC7E83" w:rsidP="00FE3179">
            <w:pPr>
              <w:pStyle w:val="SinglePara"/>
              <w:keepNext/>
              <w:spacing w:after="120"/>
              <w:ind w:right="239"/>
              <w:jc w:val="right"/>
              <w:rPr>
                <w:rFonts w:cs="Arial"/>
              </w:rPr>
            </w:pPr>
            <w:r>
              <w:rPr>
                <w:rFonts w:cs="Arial"/>
              </w:rPr>
              <w:t>537</w:t>
            </w:r>
          </w:p>
        </w:tc>
      </w:tr>
      <w:tr w:rsidR="00566E61" w:rsidRPr="00E52674" w:rsidTr="00FE3179">
        <w:trPr>
          <w:jc w:val="center"/>
        </w:trPr>
        <w:tc>
          <w:tcPr>
            <w:tcW w:w="955" w:type="dxa"/>
            <w:vAlign w:val="center"/>
          </w:tcPr>
          <w:p w:rsidR="00566E61" w:rsidRPr="00FE3179" w:rsidRDefault="00566E61" w:rsidP="00566E61">
            <w:pPr>
              <w:pStyle w:val="SinglePara"/>
              <w:keepNext/>
              <w:spacing w:after="120"/>
              <w:jc w:val="center"/>
              <w:rPr>
                <w:rFonts w:cs="Arial"/>
              </w:rPr>
            </w:pPr>
            <w:r>
              <w:rPr>
                <w:rFonts w:cs="Arial"/>
              </w:rPr>
              <w:t>2018-19</w:t>
            </w:r>
          </w:p>
        </w:tc>
        <w:tc>
          <w:tcPr>
            <w:tcW w:w="1276" w:type="dxa"/>
            <w:vAlign w:val="bottom"/>
          </w:tcPr>
          <w:p w:rsidR="00566E61" w:rsidRPr="00FE3179" w:rsidRDefault="00E67E3E" w:rsidP="00FE3179">
            <w:pPr>
              <w:pStyle w:val="SinglePara"/>
              <w:keepNext/>
              <w:spacing w:after="120"/>
              <w:ind w:right="240"/>
              <w:jc w:val="right"/>
              <w:rPr>
                <w:rFonts w:cs="Arial"/>
              </w:rPr>
            </w:pPr>
            <w:r>
              <w:rPr>
                <w:rFonts w:cs="Arial"/>
              </w:rPr>
              <w:t>73</w:t>
            </w:r>
            <w:r w:rsidR="007E7D2E">
              <w:rPr>
                <w:rFonts w:cs="Arial"/>
              </w:rPr>
              <w:t>0</w:t>
            </w:r>
          </w:p>
        </w:tc>
        <w:tc>
          <w:tcPr>
            <w:tcW w:w="1275" w:type="dxa"/>
            <w:vAlign w:val="bottom"/>
          </w:tcPr>
          <w:p w:rsidR="00566E61" w:rsidRPr="00FE3179" w:rsidRDefault="00DC7E83" w:rsidP="00FE3179">
            <w:pPr>
              <w:pStyle w:val="SinglePara"/>
              <w:keepNext/>
              <w:spacing w:after="120"/>
              <w:ind w:right="239"/>
              <w:jc w:val="right"/>
              <w:rPr>
                <w:rFonts w:cs="Arial"/>
              </w:rPr>
            </w:pPr>
            <w:r>
              <w:rPr>
                <w:rFonts w:cs="Arial"/>
              </w:rPr>
              <w:t>1,104</w:t>
            </w:r>
          </w:p>
        </w:tc>
        <w:tc>
          <w:tcPr>
            <w:tcW w:w="1276" w:type="dxa"/>
            <w:vAlign w:val="bottom"/>
          </w:tcPr>
          <w:p w:rsidR="00566E61" w:rsidRPr="00FE3179" w:rsidRDefault="00E67E3E" w:rsidP="00FE3179">
            <w:pPr>
              <w:pStyle w:val="SinglePara"/>
              <w:keepNext/>
              <w:spacing w:after="120"/>
              <w:jc w:val="center"/>
              <w:rPr>
                <w:rFonts w:cs="Arial"/>
              </w:rPr>
            </w:pPr>
            <w:r>
              <w:rPr>
                <w:rFonts w:cs="Arial"/>
              </w:rPr>
              <w:t>2.</w:t>
            </w:r>
            <w:r w:rsidR="00DC7E83">
              <w:rPr>
                <w:rFonts w:cs="Arial"/>
              </w:rPr>
              <w:t>7</w:t>
            </w:r>
          </w:p>
        </w:tc>
        <w:tc>
          <w:tcPr>
            <w:tcW w:w="1553" w:type="dxa"/>
            <w:vAlign w:val="bottom"/>
          </w:tcPr>
          <w:p w:rsidR="00566E61" w:rsidRPr="00FE3179" w:rsidRDefault="00E67E3E" w:rsidP="00FE3179">
            <w:pPr>
              <w:pStyle w:val="SinglePara"/>
              <w:keepNext/>
              <w:spacing w:after="120"/>
              <w:jc w:val="center"/>
              <w:rPr>
                <w:rFonts w:cs="Arial"/>
              </w:rPr>
            </w:pPr>
            <w:r>
              <w:rPr>
                <w:rFonts w:cs="Arial"/>
              </w:rPr>
              <w:t>4.</w:t>
            </w:r>
            <w:r w:rsidR="00DC7E83">
              <w:rPr>
                <w:rFonts w:cs="Arial"/>
              </w:rPr>
              <w:t>2</w:t>
            </w:r>
          </w:p>
        </w:tc>
        <w:tc>
          <w:tcPr>
            <w:tcW w:w="1276" w:type="dxa"/>
            <w:vAlign w:val="bottom"/>
          </w:tcPr>
          <w:p w:rsidR="00566E61" w:rsidRPr="00FE3179" w:rsidRDefault="00DC7E83" w:rsidP="00FE3179">
            <w:pPr>
              <w:pStyle w:val="SinglePara"/>
              <w:keepNext/>
              <w:spacing w:after="120"/>
              <w:ind w:right="240"/>
              <w:jc w:val="right"/>
              <w:rPr>
                <w:rFonts w:cs="Arial"/>
              </w:rPr>
            </w:pPr>
            <w:r>
              <w:rPr>
                <w:rFonts w:cs="Arial"/>
              </w:rPr>
              <w:t>411</w:t>
            </w:r>
          </w:p>
        </w:tc>
        <w:tc>
          <w:tcPr>
            <w:tcW w:w="1275" w:type="dxa"/>
            <w:vAlign w:val="bottom"/>
          </w:tcPr>
          <w:p w:rsidR="00566E61" w:rsidRPr="00FE3179" w:rsidRDefault="00DC7E83" w:rsidP="00FE3179">
            <w:pPr>
              <w:pStyle w:val="SinglePara"/>
              <w:keepNext/>
              <w:spacing w:after="120"/>
              <w:ind w:right="239"/>
              <w:jc w:val="right"/>
              <w:rPr>
                <w:rFonts w:cs="Arial"/>
              </w:rPr>
            </w:pPr>
            <w:r>
              <w:rPr>
                <w:rFonts w:cs="Arial"/>
              </w:rPr>
              <w:t>716</w:t>
            </w:r>
          </w:p>
        </w:tc>
      </w:tr>
      <w:tr w:rsidR="00566E61" w:rsidRPr="00E52674" w:rsidTr="0067454F">
        <w:trPr>
          <w:jc w:val="center"/>
        </w:trPr>
        <w:tc>
          <w:tcPr>
            <w:tcW w:w="955" w:type="dxa"/>
            <w:tcBorders>
              <w:bottom w:val="double" w:sz="4" w:space="0" w:color="auto"/>
            </w:tcBorders>
            <w:vAlign w:val="center"/>
          </w:tcPr>
          <w:p w:rsidR="00566E61" w:rsidRPr="00FE3179" w:rsidRDefault="00566E61" w:rsidP="00FE3179">
            <w:pPr>
              <w:pStyle w:val="SinglePara"/>
              <w:keepNext/>
              <w:spacing w:after="120"/>
              <w:jc w:val="center"/>
              <w:rPr>
                <w:rFonts w:cs="Arial"/>
              </w:rPr>
            </w:pPr>
            <w:r>
              <w:rPr>
                <w:rFonts w:cs="Arial"/>
              </w:rPr>
              <w:t>2019-20</w:t>
            </w:r>
          </w:p>
        </w:tc>
        <w:tc>
          <w:tcPr>
            <w:tcW w:w="1276" w:type="dxa"/>
            <w:tcBorders>
              <w:bottom w:val="double" w:sz="4" w:space="0" w:color="auto"/>
            </w:tcBorders>
            <w:vAlign w:val="bottom"/>
          </w:tcPr>
          <w:p w:rsidR="00566E61" w:rsidRPr="00FE3179" w:rsidRDefault="00E67E3E" w:rsidP="00FE3179">
            <w:pPr>
              <w:pStyle w:val="SinglePara"/>
              <w:keepNext/>
              <w:spacing w:after="120"/>
              <w:ind w:right="240"/>
              <w:jc w:val="right"/>
              <w:rPr>
                <w:rFonts w:cs="Arial"/>
              </w:rPr>
            </w:pPr>
            <w:r>
              <w:rPr>
                <w:rFonts w:cs="Arial"/>
              </w:rPr>
              <w:t>735</w:t>
            </w:r>
          </w:p>
        </w:tc>
        <w:tc>
          <w:tcPr>
            <w:tcW w:w="1275" w:type="dxa"/>
            <w:tcBorders>
              <w:bottom w:val="double" w:sz="4" w:space="0" w:color="auto"/>
            </w:tcBorders>
            <w:vAlign w:val="bottom"/>
          </w:tcPr>
          <w:p w:rsidR="00566E61" w:rsidRPr="00FE3179" w:rsidRDefault="00E67E3E" w:rsidP="00FE3179">
            <w:pPr>
              <w:pStyle w:val="SinglePara"/>
              <w:keepNext/>
              <w:spacing w:after="120"/>
              <w:ind w:right="239"/>
              <w:jc w:val="right"/>
              <w:rPr>
                <w:rFonts w:cs="Arial"/>
              </w:rPr>
            </w:pPr>
            <w:r>
              <w:rPr>
                <w:rFonts w:cs="Arial"/>
              </w:rPr>
              <w:t>1,204</w:t>
            </w:r>
          </w:p>
        </w:tc>
        <w:tc>
          <w:tcPr>
            <w:tcW w:w="1276" w:type="dxa"/>
            <w:tcBorders>
              <w:bottom w:val="double" w:sz="4" w:space="0" w:color="auto"/>
            </w:tcBorders>
            <w:vAlign w:val="bottom"/>
          </w:tcPr>
          <w:p w:rsidR="00566E61" w:rsidRPr="00FE3179" w:rsidRDefault="00E67E3E" w:rsidP="00FE3179">
            <w:pPr>
              <w:pStyle w:val="SinglePara"/>
              <w:keepNext/>
              <w:spacing w:after="120"/>
              <w:jc w:val="center"/>
              <w:rPr>
                <w:rFonts w:cs="Arial"/>
              </w:rPr>
            </w:pPr>
            <w:r>
              <w:rPr>
                <w:rFonts w:cs="Arial"/>
              </w:rPr>
              <w:t>2.6</w:t>
            </w:r>
          </w:p>
        </w:tc>
        <w:tc>
          <w:tcPr>
            <w:tcW w:w="1553" w:type="dxa"/>
            <w:tcBorders>
              <w:bottom w:val="double" w:sz="4" w:space="0" w:color="auto"/>
            </w:tcBorders>
            <w:vAlign w:val="bottom"/>
          </w:tcPr>
          <w:p w:rsidR="00566E61" w:rsidRPr="00FE3179" w:rsidRDefault="00E67E3E" w:rsidP="00FE3179">
            <w:pPr>
              <w:pStyle w:val="SinglePara"/>
              <w:keepNext/>
              <w:spacing w:after="120"/>
              <w:jc w:val="center"/>
              <w:rPr>
                <w:rFonts w:cs="Arial"/>
              </w:rPr>
            </w:pPr>
            <w:r>
              <w:rPr>
                <w:rFonts w:cs="Arial"/>
              </w:rPr>
              <w:t>4.3</w:t>
            </w:r>
          </w:p>
        </w:tc>
        <w:tc>
          <w:tcPr>
            <w:tcW w:w="1276" w:type="dxa"/>
            <w:tcBorders>
              <w:bottom w:val="double" w:sz="4" w:space="0" w:color="auto"/>
            </w:tcBorders>
            <w:vAlign w:val="bottom"/>
          </w:tcPr>
          <w:p w:rsidR="00566E61" w:rsidRPr="00FE3179" w:rsidRDefault="00E67E3E" w:rsidP="00FE3179">
            <w:pPr>
              <w:pStyle w:val="SinglePara"/>
              <w:keepNext/>
              <w:spacing w:after="120"/>
              <w:ind w:right="240"/>
              <w:jc w:val="right"/>
              <w:rPr>
                <w:rFonts w:cs="Arial"/>
              </w:rPr>
            </w:pPr>
            <w:r>
              <w:rPr>
                <w:rFonts w:cs="Arial"/>
              </w:rPr>
              <w:t>506</w:t>
            </w:r>
          </w:p>
        </w:tc>
        <w:tc>
          <w:tcPr>
            <w:tcW w:w="1275" w:type="dxa"/>
            <w:tcBorders>
              <w:bottom w:val="double" w:sz="4" w:space="0" w:color="auto"/>
            </w:tcBorders>
            <w:vAlign w:val="bottom"/>
          </w:tcPr>
          <w:p w:rsidR="00566E61" w:rsidRPr="00FE3179" w:rsidRDefault="00E67E3E" w:rsidP="00FE3179">
            <w:pPr>
              <w:pStyle w:val="SinglePara"/>
              <w:keepNext/>
              <w:spacing w:after="120"/>
              <w:ind w:right="239"/>
              <w:jc w:val="right"/>
              <w:rPr>
                <w:rFonts w:cs="Arial"/>
              </w:rPr>
            </w:pPr>
            <w:r>
              <w:rPr>
                <w:rFonts w:cs="Arial"/>
              </w:rPr>
              <w:t>904</w:t>
            </w:r>
          </w:p>
        </w:tc>
      </w:tr>
      <w:tr w:rsidR="00566E61" w:rsidRPr="00E52674" w:rsidTr="0067454F">
        <w:trPr>
          <w:trHeight w:val="419"/>
          <w:jc w:val="center"/>
        </w:trPr>
        <w:tc>
          <w:tcPr>
            <w:tcW w:w="955" w:type="dxa"/>
            <w:tcBorders>
              <w:top w:val="double" w:sz="4" w:space="0" w:color="auto"/>
            </w:tcBorders>
            <w:vAlign w:val="center"/>
          </w:tcPr>
          <w:p w:rsidR="00566E61" w:rsidRPr="00FE3179" w:rsidRDefault="00566E61" w:rsidP="00FE3179">
            <w:pPr>
              <w:pStyle w:val="SinglePara"/>
              <w:keepNext/>
              <w:spacing w:after="120"/>
              <w:jc w:val="center"/>
              <w:rPr>
                <w:rFonts w:cs="Arial"/>
              </w:rPr>
            </w:pPr>
            <w:r>
              <w:rPr>
                <w:rFonts w:cs="Arial"/>
              </w:rPr>
              <w:t>2024-25</w:t>
            </w:r>
          </w:p>
        </w:tc>
        <w:tc>
          <w:tcPr>
            <w:tcW w:w="1276" w:type="dxa"/>
            <w:tcBorders>
              <w:top w:val="double" w:sz="4" w:space="0" w:color="auto"/>
            </w:tcBorders>
            <w:vAlign w:val="bottom"/>
          </w:tcPr>
          <w:p w:rsidR="00566E61" w:rsidRPr="00FE3179" w:rsidRDefault="00E67E3E" w:rsidP="00FE3179">
            <w:pPr>
              <w:pStyle w:val="SinglePara"/>
              <w:keepNext/>
              <w:spacing w:after="120"/>
              <w:ind w:right="240"/>
              <w:jc w:val="right"/>
              <w:rPr>
                <w:rFonts w:cs="Arial"/>
              </w:rPr>
            </w:pPr>
            <w:r>
              <w:rPr>
                <w:rFonts w:cs="Arial"/>
              </w:rPr>
              <w:t>825</w:t>
            </w:r>
          </w:p>
        </w:tc>
        <w:tc>
          <w:tcPr>
            <w:tcW w:w="1275" w:type="dxa"/>
            <w:tcBorders>
              <w:top w:val="double" w:sz="4" w:space="0" w:color="auto"/>
            </w:tcBorders>
            <w:vAlign w:val="bottom"/>
          </w:tcPr>
          <w:p w:rsidR="00566E61" w:rsidRPr="00FE3179" w:rsidRDefault="00E67E3E" w:rsidP="00FE3179">
            <w:pPr>
              <w:pStyle w:val="SinglePara"/>
              <w:keepNext/>
              <w:spacing w:after="120"/>
              <w:ind w:right="239"/>
              <w:jc w:val="right"/>
              <w:rPr>
                <w:rFonts w:cs="Arial"/>
              </w:rPr>
            </w:pPr>
            <w:r>
              <w:rPr>
                <w:rFonts w:cs="Arial"/>
              </w:rPr>
              <w:t>1,399</w:t>
            </w:r>
          </w:p>
        </w:tc>
        <w:tc>
          <w:tcPr>
            <w:tcW w:w="1276" w:type="dxa"/>
            <w:tcBorders>
              <w:top w:val="double" w:sz="4" w:space="0" w:color="auto"/>
            </w:tcBorders>
            <w:vAlign w:val="bottom"/>
          </w:tcPr>
          <w:p w:rsidR="00566E61" w:rsidRPr="00FE3179" w:rsidRDefault="00E67E3E" w:rsidP="00FE3179">
            <w:pPr>
              <w:pStyle w:val="SinglePara"/>
              <w:keepNext/>
              <w:spacing w:after="120"/>
              <w:jc w:val="center"/>
              <w:rPr>
                <w:rFonts w:cs="Arial"/>
              </w:rPr>
            </w:pPr>
            <w:r>
              <w:rPr>
                <w:rFonts w:cs="Arial"/>
              </w:rPr>
              <w:t>2.4</w:t>
            </w:r>
          </w:p>
        </w:tc>
        <w:tc>
          <w:tcPr>
            <w:tcW w:w="1553" w:type="dxa"/>
            <w:tcBorders>
              <w:top w:val="double" w:sz="4" w:space="0" w:color="auto"/>
            </w:tcBorders>
            <w:vAlign w:val="bottom"/>
          </w:tcPr>
          <w:p w:rsidR="00566E61" w:rsidRPr="00FE3179" w:rsidRDefault="00E67E3E" w:rsidP="00FE3179">
            <w:pPr>
              <w:pStyle w:val="SinglePara"/>
              <w:keepNext/>
              <w:spacing w:after="120"/>
              <w:jc w:val="center"/>
              <w:rPr>
                <w:rFonts w:cs="Arial"/>
              </w:rPr>
            </w:pPr>
            <w:r>
              <w:rPr>
                <w:rFonts w:cs="Arial"/>
              </w:rPr>
              <w:t>4.1</w:t>
            </w:r>
          </w:p>
        </w:tc>
        <w:tc>
          <w:tcPr>
            <w:tcW w:w="1276" w:type="dxa"/>
            <w:tcBorders>
              <w:top w:val="double" w:sz="4" w:space="0" w:color="auto"/>
            </w:tcBorders>
            <w:vAlign w:val="bottom"/>
          </w:tcPr>
          <w:p w:rsidR="00566E61" w:rsidRPr="00FE3179" w:rsidRDefault="00E67E3E" w:rsidP="00FE3179">
            <w:pPr>
              <w:pStyle w:val="SinglePara"/>
              <w:keepNext/>
              <w:spacing w:after="120"/>
              <w:ind w:right="240"/>
              <w:jc w:val="right"/>
              <w:rPr>
                <w:rFonts w:cs="Arial"/>
              </w:rPr>
            </w:pPr>
            <w:r>
              <w:rPr>
                <w:rFonts w:cs="Arial"/>
              </w:rPr>
              <w:t>857</w:t>
            </w:r>
          </w:p>
        </w:tc>
        <w:tc>
          <w:tcPr>
            <w:tcW w:w="1275" w:type="dxa"/>
            <w:tcBorders>
              <w:top w:val="double" w:sz="4" w:space="0" w:color="auto"/>
            </w:tcBorders>
            <w:vAlign w:val="bottom"/>
          </w:tcPr>
          <w:p w:rsidR="00566E61" w:rsidRPr="00FE3179" w:rsidRDefault="00E67E3E" w:rsidP="00FE3179">
            <w:pPr>
              <w:pStyle w:val="SinglePara"/>
              <w:keepNext/>
              <w:spacing w:after="120"/>
              <w:ind w:right="239"/>
              <w:jc w:val="right"/>
              <w:rPr>
                <w:rFonts w:cs="Arial"/>
              </w:rPr>
            </w:pPr>
            <w:r>
              <w:rPr>
                <w:rFonts w:cs="Arial"/>
              </w:rPr>
              <w:t>1,465</w:t>
            </w:r>
          </w:p>
        </w:tc>
      </w:tr>
      <w:tr w:rsidR="00566E61" w:rsidRPr="00E52674" w:rsidTr="00FE3179">
        <w:trPr>
          <w:trHeight w:val="411"/>
          <w:jc w:val="center"/>
        </w:trPr>
        <w:tc>
          <w:tcPr>
            <w:tcW w:w="955" w:type="dxa"/>
            <w:vAlign w:val="center"/>
          </w:tcPr>
          <w:p w:rsidR="00566E61" w:rsidRPr="00FE3179" w:rsidRDefault="00566E61" w:rsidP="00FE3179">
            <w:pPr>
              <w:pStyle w:val="SinglePara"/>
              <w:keepNext/>
              <w:spacing w:after="120"/>
              <w:jc w:val="center"/>
              <w:rPr>
                <w:rFonts w:cs="Arial"/>
              </w:rPr>
            </w:pPr>
            <w:r>
              <w:rPr>
                <w:rFonts w:cs="Arial"/>
              </w:rPr>
              <w:t>2029-30</w:t>
            </w:r>
          </w:p>
        </w:tc>
        <w:tc>
          <w:tcPr>
            <w:tcW w:w="1276" w:type="dxa"/>
            <w:vAlign w:val="bottom"/>
          </w:tcPr>
          <w:p w:rsidR="00566E61" w:rsidRPr="00FE3179" w:rsidRDefault="00E67E3E" w:rsidP="00FE3179">
            <w:pPr>
              <w:pStyle w:val="SinglePara"/>
              <w:keepNext/>
              <w:spacing w:after="120"/>
              <w:ind w:right="240"/>
              <w:jc w:val="right"/>
              <w:rPr>
                <w:rFonts w:cs="Arial"/>
              </w:rPr>
            </w:pPr>
            <w:r>
              <w:rPr>
                <w:rFonts w:cs="Arial"/>
              </w:rPr>
              <w:t>1,057</w:t>
            </w:r>
          </w:p>
        </w:tc>
        <w:tc>
          <w:tcPr>
            <w:tcW w:w="1275" w:type="dxa"/>
            <w:vAlign w:val="bottom"/>
          </w:tcPr>
          <w:p w:rsidR="00566E61" w:rsidRPr="00FE3179" w:rsidRDefault="00E67E3E" w:rsidP="00FE3179">
            <w:pPr>
              <w:pStyle w:val="SinglePara"/>
              <w:keepNext/>
              <w:spacing w:after="120"/>
              <w:ind w:right="239"/>
              <w:jc w:val="right"/>
              <w:rPr>
                <w:rFonts w:cs="Arial"/>
              </w:rPr>
            </w:pPr>
            <w:r>
              <w:rPr>
                <w:rFonts w:cs="Arial"/>
              </w:rPr>
              <w:t>1,612</w:t>
            </w:r>
          </w:p>
        </w:tc>
        <w:tc>
          <w:tcPr>
            <w:tcW w:w="1276" w:type="dxa"/>
            <w:vAlign w:val="bottom"/>
          </w:tcPr>
          <w:p w:rsidR="00566E61" w:rsidRPr="00FE3179" w:rsidRDefault="00E67E3E" w:rsidP="00FE3179">
            <w:pPr>
              <w:pStyle w:val="SinglePara"/>
              <w:keepNext/>
              <w:spacing w:after="120"/>
              <w:jc w:val="center"/>
              <w:rPr>
                <w:rFonts w:cs="Arial"/>
              </w:rPr>
            </w:pPr>
            <w:r>
              <w:rPr>
                <w:rFonts w:cs="Arial"/>
              </w:rPr>
              <w:t>2.6</w:t>
            </w:r>
          </w:p>
        </w:tc>
        <w:tc>
          <w:tcPr>
            <w:tcW w:w="1553" w:type="dxa"/>
            <w:vAlign w:val="bottom"/>
          </w:tcPr>
          <w:p w:rsidR="00566E61" w:rsidRPr="00FE3179" w:rsidRDefault="00E67E3E" w:rsidP="00FE3179">
            <w:pPr>
              <w:pStyle w:val="SinglePara"/>
              <w:keepNext/>
              <w:spacing w:after="120"/>
              <w:jc w:val="center"/>
              <w:rPr>
                <w:rFonts w:cs="Arial"/>
              </w:rPr>
            </w:pPr>
            <w:r>
              <w:rPr>
                <w:rFonts w:cs="Arial"/>
              </w:rPr>
              <w:t>3.9</w:t>
            </w:r>
          </w:p>
        </w:tc>
        <w:tc>
          <w:tcPr>
            <w:tcW w:w="1276" w:type="dxa"/>
            <w:vAlign w:val="bottom"/>
          </w:tcPr>
          <w:p w:rsidR="00566E61" w:rsidRPr="00FE3179" w:rsidRDefault="00E67E3E" w:rsidP="00FE3179">
            <w:pPr>
              <w:pStyle w:val="SinglePara"/>
              <w:keepNext/>
              <w:spacing w:after="120"/>
              <w:ind w:right="240"/>
              <w:jc w:val="right"/>
              <w:rPr>
                <w:rFonts w:cs="Arial"/>
              </w:rPr>
            </w:pPr>
            <w:r>
              <w:rPr>
                <w:rFonts w:cs="Arial"/>
              </w:rPr>
              <w:t>1,038</w:t>
            </w:r>
          </w:p>
        </w:tc>
        <w:tc>
          <w:tcPr>
            <w:tcW w:w="1275" w:type="dxa"/>
            <w:vAlign w:val="bottom"/>
          </w:tcPr>
          <w:p w:rsidR="00566E61" w:rsidRPr="00FE3179" w:rsidRDefault="00E67E3E" w:rsidP="00FE3179">
            <w:pPr>
              <w:pStyle w:val="SinglePara"/>
              <w:keepNext/>
              <w:spacing w:after="120"/>
              <w:ind w:right="239"/>
              <w:jc w:val="right"/>
              <w:rPr>
                <w:rFonts w:cs="Arial"/>
              </w:rPr>
            </w:pPr>
            <w:r>
              <w:rPr>
                <w:rFonts w:cs="Arial"/>
              </w:rPr>
              <w:t>1,626</w:t>
            </w:r>
          </w:p>
        </w:tc>
      </w:tr>
      <w:tr w:rsidR="00566E61" w:rsidRPr="00E52674" w:rsidTr="00FE3179">
        <w:trPr>
          <w:trHeight w:val="411"/>
          <w:jc w:val="center"/>
        </w:trPr>
        <w:tc>
          <w:tcPr>
            <w:tcW w:w="955" w:type="dxa"/>
            <w:vAlign w:val="center"/>
          </w:tcPr>
          <w:p w:rsidR="00566E61" w:rsidRDefault="00566E61" w:rsidP="00FE3179">
            <w:pPr>
              <w:pStyle w:val="SinglePara"/>
              <w:keepNext/>
              <w:spacing w:after="120"/>
              <w:jc w:val="center"/>
              <w:rPr>
                <w:rFonts w:cs="Arial"/>
              </w:rPr>
            </w:pPr>
            <w:r>
              <w:rPr>
                <w:rFonts w:cs="Arial"/>
              </w:rPr>
              <w:t>2034-35</w:t>
            </w:r>
          </w:p>
        </w:tc>
        <w:tc>
          <w:tcPr>
            <w:tcW w:w="1276" w:type="dxa"/>
            <w:vAlign w:val="bottom"/>
          </w:tcPr>
          <w:p w:rsidR="00566E61" w:rsidRPr="00FE3179" w:rsidRDefault="00E67E3E" w:rsidP="00FE3179">
            <w:pPr>
              <w:pStyle w:val="SinglePara"/>
              <w:keepNext/>
              <w:spacing w:after="120"/>
              <w:ind w:right="240"/>
              <w:jc w:val="right"/>
              <w:rPr>
                <w:rFonts w:cs="Arial"/>
              </w:rPr>
            </w:pPr>
            <w:r>
              <w:rPr>
                <w:rFonts w:cs="Arial"/>
              </w:rPr>
              <w:t>1,295</w:t>
            </w:r>
          </w:p>
        </w:tc>
        <w:tc>
          <w:tcPr>
            <w:tcW w:w="1275" w:type="dxa"/>
            <w:vAlign w:val="bottom"/>
          </w:tcPr>
          <w:p w:rsidR="00566E61" w:rsidRPr="00FE3179" w:rsidRDefault="00E67E3E" w:rsidP="00FE3179">
            <w:pPr>
              <w:pStyle w:val="SinglePara"/>
              <w:keepNext/>
              <w:spacing w:after="120"/>
              <w:ind w:right="239"/>
              <w:jc w:val="right"/>
              <w:rPr>
                <w:rFonts w:cs="Arial"/>
              </w:rPr>
            </w:pPr>
            <w:r>
              <w:rPr>
                <w:rFonts w:cs="Arial"/>
              </w:rPr>
              <w:t>2,007</w:t>
            </w:r>
          </w:p>
        </w:tc>
        <w:tc>
          <w:tcPr>
            <w:tcW w:w="1276" w:type="dxa"/>
            <w:vAlign w:val="bottom"/>
          </w:tcPr>
          <w:p w:rsidR="00566E61" w:rsidRPr="00FE3179" w:rsidRDefault="00E67E3E" w:rsidP="00FE3179">
            <w:pPr>
              <w:pStyle w:val="SinglePara"/>
              <w:keepNext/>
              <w:spacing w:after="120"/>
              <w:jc w:val="center"/>
              <w:rPr>
                <w:rFonts w:cs="Arial"/>
              </w:rPr>
            </w:pPr>
            <w:r>
              <w:rPr>
                <w:rFonts w:cs="Arial"/>
              </w:rPr>
              <w:t>2.6</w:t>
            </w:r>
          </w:p>
        </w:tc>
        <w:tc>
          <w:tcPr>
            <w:tcW w:w="1553" w:type="dxa"/>
            <w:vAlign w:val="bottom"/>
          </w:tcPr>
          <w:p w:rsidR="00566E61" w:rsidRPr="00FE3179" w:rsidRDefault="00E67E3E" w:rsidP="00FE3179">
            <w:pPr>
              <w:pStyle w:val="SinglePara"/>
              <w:keepNext/>
              <w:spacing w:after="120"/>
              <w:jc w:val="center"/>
              <w:rPr>
                <w:rFonts w:cs="Arial"/>
              </w:rPr>
            </w:pPr>
            <w:r>
              <w:rPr>
                <w:rFonts w:cs="Arial"/>
              </w:rPr>
              <w:t>4.0</w:t>
            </w:r>
          </w:p>
        </w:tc>
        <w:tc>
          <w:tcPr>
            <w:tcW w:w="1276" w:type="dxa"/>
            <w:vAlign w:val="bottom"/>
          </w:tcPr>
          <w:p w:rsidR="00566E61" w:rsidRPr="00FE3179" w:rsidRDefault="00E67E3E" w:rsidP="00FE3179">
            <w:pPr>
              <w:pStyle w:val="SinglePara"/>
              <w:keepNext/>
              <w:spacing w:after="120"/>
              <w:ind w:right="240"/>
              <w:jc w:val="right"/>
              <w:rPr>
                <w:rFonts w:cs="Arial"/>
              </w:rPr>
            </w:pPr>
            <w:r>
              <w:rPr>
                <w:rFonts w:cs="Arial"/>
              </w:rPr>
              <w:t>1,393</w:t>
            </w:r>
          </w:p>
        </w:tc>
        <w:tc>
          <w:tcPr>
            <w:tcW w:w="1275" w:type="dxa"/>
            <w:vAlign w:val="bottom"/>
          </w:tcPr>
          <w:p w:rsidR="00566E61" w:rsidRPr="00FE3179" w:rsidRDefault="00E67E3E" w:rsidP="00FE3179">
            <w:pPr>
              <w:pStyle w:val="SinglePara"/>
              <w:keepNext/>
              <w:spacing w:after="120"/>
              <w:ind w:right="239"/>
              <w:jc w:val="right"/>
              <w:rPr>
                <w:rFonts w:cs="Arial"/>
              </w:rPr>
            </w:pPr>
            <w:r>
              <w:rPr>
                <w:rFonts w:cs="Arial"/>
              </w:rPr>
              <w:t>2,163</w:t>
            </w:r>
          </w:p>
        </w:tc>
      </w:tr>
    </w:tbl>
    <w:p w:rsidR="00DA6978" w:rsidRDefault="00DA6978" w:rsidP="00DA6978">
      <w:pPr>
        <w:pStyle w:val="BodyText"/>
        <w:numPr>
          <w:ilvl w:val="0"/>
          <w:numId w:val="0"/>
        </w:numPr>
        <w:ind w:left="1134" w:hanging="850"/>
      </w:pPr>
      <w:r>
        <w:t>*Excludes cash costs associated with current pensions.</w:t>
      </w:r>
    </w:p>
    <w:p w:rsidR="004F67CD" w:rsidRDefault="004F67CD" w:rsidP="00BF575D">
      <w:pPr>
        <w:pStyle w:val="BodyText"/>
      </w:pPr>
      <w:r>
        <w:t>Under the alternative invalidity assumptions, annual premium costs incre</w:t>
      </w:r>
      <w:r w:rsidR="00DA6978">
        <w:t>ase by between approximately 40 per cent</w:t>
      </w:r>
      <w:r>
        <w:t xml:space="preserve"> </w:t>
      </w:r>
      <w:r w:rsidR="00DA6978">
        <w:t>and 70 per cent</w:t>
      </w:r>
      <w:r>
        <w:t xml:space="preserve"> over the next 20 years.  These premi</w:t>
      </w:r>
      <w:r w:rsidR="00165FFC">
        <w:t>um costs equate to just over</w:t>
      </w:r>
      <w:r w:rsidR="00DA6978">
        <w:t xml:space="preserve"> 4 per cent</w:t>
      </w:r>
      <w:r>
        <w:t xml:space="preserve"> of salaries</w:t>
      </w:r>
      <w:r w:rsidR="002A397B">
        <w:t xml:space="preserve">, an increase from </w:t>
      </w:r>
      <w:r w:rsidR="00090B99">
        <w:t>2.5 per cent</w:t>
      </w:r>
      <w:r w:rsidR="002A397B">
        <w:t xml:space="preserve"> </w:t>
      </w:r>
      <w:r w:rsidR="00764F83">
        <w:t xml:space="preserve">of salaries </w:t>
      </w:r>
      <w:r w:rsidR="002A397B">
        <w:t>under the base assumptions.  As expected, cash costs of the Scheme also increase</w:t>
      </w:r>
      <w:r w:rsidR="00B3250B">
        <w:t xml:space="preserve"> (in nominal dollars)</w:t>
      </w:r>
      <w:r w:rsidR="002A397B">
        <w:t xml:space="preserve"> under these alternative invalidity assumptions. </w:t>
      </w:r>
      <w:r>
        <w:t xml:space="preserve">    </w:t>
      </w:r>
    </w:p>
    <w:p w:rsidR="00A15161" w:rsidRPr="00557D0B" w:rsidRDefault="00A009D6" w:rsidP="00BF575D">
      <w:pPr>
        <w:pStyle w:val="BodyText"/>
      </w:pPr>
      <w:r>
        <w:t>It should be noted that the actual costs of the Scheme will depend on actual experience which will only be known with the benefit of hindsight. It is possible that actual costs will be outside the range outlined above.</w:t>
      </w:r>
    </w:p>
    <w:p w:rsidR="00BA5BA3" w:rsidRDefault="00FA78CE" w:rsidP="004D438D">
      <w:pPr>
        <w:spacing w:before="0" w:after="0" w:line="240" w:lineRule="auto"/>
        <w:jc w:val="lef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4pt;height:40.2pt;visibility:visible">
            <v:imagedata r:id="rId15" o:title="MBsignature1"/>
          </v:shape>
        </w:pict>
      </w:r>
    </w:p>
    <w:p w:rsidR="00FD509D" w:rsidRDefault="004D438D" w:rsidP="004D438D">
      <w:pPr>
        <w:spacing w:before="0" w:after="0" w:line="240" w:lineRule="auto"/>
        <w:jc w:val="left"/>
      </w:pPr>
      <w:r>
        <w:t>Michael Burt</w:t>
      </w:r>
      <w:r w:rsidR="00FD509D">
        <w:t xml:space="preserve"> FIAA</w:t>
      </w:r>
      <w:r>
        <w:br/>
        <w:t>Actuary</w:t>
      </w:r>
      <w:r w:rsidR="00FD509D">
        <w:br/>
        <w:t>Australian Government Actuary</w:t>
      </w:r>
      <w:r w:rsidR="00FD509D">
        <w:br/>
      </w:r>
      <w:r w:rsidR="00090B99">
        <w:t>24</w:t>
      </w:r>
      <w:r w:rsidR="00FD509D">
        <w:t xml:space="preserve"> </w:t>
      </w:r>
      <w:r w:rsidR="00090B99">
        <w:t>August 2015</w:t>
      </w:r>
    </w:p>
    <w:p w:rsidR="00911E16" w:rsidRDefault="00911E16">
      <w:pPr>
        <w:spacing w:before="0" w:after="0" w:line="240" w:lineRule="auto"/>
        <w:jc w:val="left"/>
        <w:rPr>
          <w:b/>
        </w:rPr>
      </w:pPr>
      <w:r>
        <w:rPr>
          <w:b/>
        </w:rPr>
        <w:br w:type="page"/>
      </w:r>
    </w:p>
    <w:p w:rsidR="002B1EB7" w:rsidRDefault="002B1EB7" w:rsidP="009612B8">
      <w:pPr>
        <w:pStyle w:val="Heading3"/>
      </w:pPr>
      <w:r w:rsidRPr="009612B8">
        <w:t>APPENDIX</w:t>
      </w:r>
      <w:r>
        <w:t xml:space="preserve"> </w:t>
      </w:r>
      <w:r w:rsidR="003027E3">
        <w:t>A</w:t>
      </w:r>
      <w:r>
        <w:tab/>
      </w:r>
    </w:p>
    <w:p w:rsidR="002B1EB7" w:rsidRDefault="002B1EB7" w:rsidP="009612B8">
      <w:pPr>
        <w:pStyle w:val="Heading4"/>
      </w:pPr>
      <w:r w:rsidRPr="009612B8">
        <w:t>DETAILED</w:t>
      </w:r>
      <w:r>
        <w:t xml:space="preserve"> ACTUARIAL ASSUMPTIONS</w:t>
      </w:r>
    </w:p>
    <w:p w:rsidR="00D24A14" w:rsidRDefault="00D24A14" w:rsidP="00D24A14">
      <w:pPr>
        <w:jc w:val="left"/>
        <w:rPr>
          <w:rFonts w:cs="Arial"/>
          <w:i/>
        </w:rPr>
      </w:pPr>
      <w:r>
        <w:rPr>
          <w:rFonts w:cs="Arial"/>
          <w:i/>
        </w:rPr>
        <w:t>Financial Assumptions</w:t>
      </w:r>
    </w:p>
    <w:p w:rsidR="00D24A14" w:rsidRDefault="00D24A14" w:rsidP="00D24A14">
      <w:pPr>
        <w:jc w:val="left"/>
        <w:rPr>
          <w:rFonts w:cs="Arial"/>
          <w:spacing w:val="-3"/>
        </w:rPr>
      </w:pPr>
      <w:r>
        <w:rPr>
          <w:rFonts w:cs="Arial"/>
        </w:rPr>
        <w:t>The long term financial assumptions adopted were as follows:</w:t>
      </w:r>
    </w:p>
    <w:tbl>
      <w:tblPr>
        <w:tblW w:w="0" w:type="auto"/>
        <w:jc w:val="center"/>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4A0" w:firstRow="1" w:lastRow="0" w:firstColumn="1" w:lastColumn="0" w:noHBand="0" w:noVBand="1"/>
      </w:tblPr>
      <w:tblGrid>
        <w:gridCol w:w="2903"/>
        <w:gridCol w:w="2483"/>
      </w:tblGrid>
      <w:tr w:rsidR="00D24A14" w:rsidTr="002744DF">
        <w:trPr>
          <w:trHeight w:hRule="exact" w:val="454"/>
          <w:jc w:val="center"/>
        </w:trPr>
        <w:tc>
          <w:tcPr>
            <w:tcW w:w="2903" w:type="dxa"/>
            <w:tcBorders>
              <w:top w:val="double" w:sz="6" w:space="0" w:color="auto"/>
              <w:left w:val="double" w:sz="6" w:space="0" w:color="auto"/>
              <w:bottom w:val="nil"/>
              <w:right w:val="nil"/>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Interest Rate</w:t>
            </w:r>
          </w:p>
        </w:tc>
        <w:tc>
          <w:tcPr>
            <w:tcW w:w="2483" w:type="dxa"/>
            <w:tcBorders>
              <w:top w:val="double" w:sz="6" w:space="0" w:color="auto"/>
              <w:left w:val="nil"/>
              <w:bottom w:val="nil"/>
              <w:right w:val="double" w:sz="6" w:space="0" w:color="auto"/>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6.0% per annum</w:t>
            </w:r>
          </w:p>
        </w:tc>
      </w:tr>
      <w:tr w:rsidR="00D24A14" w:rsidTr="002744DF">
        <w:trPr>
          <w:trHeight w:hRule="exact" w:val="454"/>
          <w:jc w:val="center"/>
        </w:trPr>
        <w:tc>
          <w:tcPr>
            <w:tcW w:w="2903" w:type="dxa"/>
            <w:tcBorders>
              <w:top w:val="nil"/>
              <w:left w:val="double" w:sz="6" w:space="0" w:color="auto"/>
              <w:bottom w:val="nil"/>
              <w:right w:val="nil"/>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General Salary Increases</w:t>
            </w:r>
          </w:p>
        </w:tc>
        <w:tc>
          <w:tcPr>
            <w:tcW w:w="2483" w:type="dxa"/>
            <w:tcBorders>
              <w:top w:val="nil"/>
              <w:left w:val="nil"/>
              <w:bottom w:val="nil"/>
              <w:right w:val="double" w:sz="6" w:space="0" w:color="auto"/>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4.0% per annum</w:t>
            </w:r>
          </w:p>
        </w:tc>
      </w:tr>
      <w:tr w:rsidR="00D24A14" w:rsidTr="002744DF">
        <w:trPr>
          <w:trHeight w:hRule="exact" w:val="454"/>
          <w:jc w:val="center"/>
        </w:trPr>
        <w:tc>
          <w:tcPr>
            <w:tcW w:w="2903" w:type="dxa"/>
            <w:tcBorders>
              <w:top w:val="nil"/>
              <w:left w:val="double" w:sz="6" w:space="0" w:color="auto"/>
              <w:bottom w:val="double" w:sz="6" w:space="0" w:color="auto"/>
              <w:right w:val="nil"/>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Pension Increases</w:t>
            </w:r>
          </w:p>
        </w:tc>
        <w:tc>
          <w:tcPr>
            <w:tcW w:w="2483" w:type="dxa"/>
            <w:tcBorders>
              <w:top w:val="nil"/>
              <w:left w:val="nil"/>
              <w:bottom w:val="double" w:sz="6" w:space="0" w:color="auto"/>
              <w:right w:val="double" w:sz="6" w:space="0" w:color="auto"/>
            </w:tcBorders>
            <w:hideMark/>
          </w:tcPr>
          <w:p w:rsidR="00D24A14" w:rsidRDefault="00D24A14">
            <w:pPr>
              <w:tabs>
                <w:tab w:val="left" w:pos="-1440"/>
                <w:tab w:val="left" w:pos="-720"/>
                <w:tab w:val="left" w:pos="0"/>
                <w:tab w:val="left" w:pos="720"/>
                <w:tab w:val="left" w:pos="1110"/>
                <w:tab w:val="left" w:pos="2552"/>
              </w:tabs>
              <w:suppressAutoHyphens/>
              <w:spacing w:before="54" w:after="54"/>
              <w:rPr>
                <w:rFonts w:cs="Arial"/>
                <w:spacing w:val="-3"/>
              </w:rPr>
            </w:pPr>
            <w:r>
              <w:rPr>
                <w:rFonts w:cs="Arial"/>
                <w:spacing w:val="-3"/>
              </w:rPr>
              <w:t>4.0% per annum</w:t>
            </w:r>
          </w:p>
        </w:tc>
      </w:tr>
    </w:tbl>
    <w:p w:rsidR="00D24A14" w:rsidRDefault="00D24A14" w:rsidP="00D24A14">
      <w:pPr>
        <w:tabs>
          <w:tab w:val="left" w:pos="-1440"/>
          <w:tab w:val="left" w:pos="-703"/>
          <w:tab w:val="left" w:pos="0"/>
          <w:tab w:val="left" w:pos="941"/>
          <w:tab w:val="left" w:pos="1440"/>
        </w:tabs>
        <w:suppressAutoHyphens/>
      </w:pPr>
      <w:r>
        <w:rPr>
          <w:rFonts w:cs="Arial"/>
          <w:i/>
        </w:rPr>
        <w:t>Resignation/Retirement Rates</w:t>
      </w:r>
    </w:p>
    <w:p w:rsidR="00D24A14" w:rsidRDefault="00D24A14" w:rsidP="00D24A14">
      <w:pPr>
        <w:tabs>
          <w:tab w:val="left" w:pos="-1440"/>
          <w:tab w:val="left" w:pos="-720"/>
          <w:tab w:val="left" w:pos="720"/>
          <w:tab w:val="left" w:pos="1110"/>
          <w:tab w:val="left" w:pos="2552"/>
        </w:tabs>
        <w:suppressAutoHyphens/>
        <w:rPr>
          <w:rFonts w:cs="Arial"/>
          <w:spacing w:val="-3"/>
        </w:rPr>
      </w:pPr>
      <w:r>
        <w:rPr>
          <w:rFonts w:cs="Arial"/>
          <w:spacing w:val="-3"/>
        </w:rPr>
        <w:t xml:space="preserve">The rates set out in the table below are the resignation/retirement rates applying to serving members.  </w:t>
      </w:r>
      <w:r w:rsidR="00090B99">
        <w:rPr>
          <w:rFonts w:cs="Arial"/>
          <w:spacing w:val="-3"/>
        </w:rPr>
        <w:t>On attaining age 70, any serving Federal Circuit Court of Australia Judge must retire.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2575"/>
      </w:tblGrid>
      <w:tr w:rsidR="00D24A14" w:rsidTr="00D24A14">
        <w:trPr>
          <w:jc w:val="center"/>
        </w:trPr>
        <w:tc>
          <w:tcPr>
            <w:tcW w:w="2487" w:type="dxa"/>
            <w:tcBorders>
              <w:top w:val="double" w:sz="4" w:space="0" w:color="auto"/>
              <w:left w:val="double" w:sz="4" w:space="0" w:color="auto"/>
              <w:bottom w:val="single" w:sz="12" w:space="0" w:color="auto"/>
              <w:right w:val="sing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b/>
                <w:spacing w:val="-3"/>
              </w:rPr>
            </w:pPr>
            <w:r>
              <w:rPr>
                <w:rFonts w:cs="Arial"/>
                <w:b/>
                <w:spacing w:val="-3"/>
              </w:rPr>
              <w:t>Attained Age</w:t>
            </w:r>
          </w:p>
        </w:tc>
        <w:tc>
          <w:tcPr>
            <w:tcW w:w="2575" w:type="dxa"/>
            <w:tcBorders>
              <w:top w:val="double" w:sz="4" w:space="0" w:color="auto"/>
              <w:left w:val="single" w:sz="4" w:space="0" w:color="auto"/>
              <w:bottom w:val="single" w:sz="12" w:space="0" w:color="auto"/>
              <w:right w:val="doub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b/>
                <w:spacing w:val="-3"/>
              </w:rPr>
            </w:pPr>
            <w:r>
              <w:rPr>
                <w:rFonts w:cs="Arial"/>
                <w:b/>
                <w:spacing w:val="-3"/>
              </w:rPr>
              <w:t>Retirement Rate</w:t>
            </w:r>
          </w:p>
        </w:tc>
      </w:tr>
      <w:tr w:rsidR="00D24A14" w:rsidTr="00D24A14">
        <w:trPr>
          <w:jc w:val="center"/>
        </w:trPr>
        <w:tc>
          <w:tcPr>
            <w:tcW w:w="2487" w:type="dxa"/>
            <w:tcBorders>
              <w:top w:val="single" w:sz="12" w:space="0" w:color="auto"/>
              <w:left w:val="double" w:sz="4" w:space="0" w:color="auto"/>
              <w:bottom w:val="single" w:sz="4" w:space="0" w:color="auto"/>
              <w:right w:val="single" w:sz="4" w:space="0" w:color="auto"/>
            </w:tcBorders>
            <w:hideMark/>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59</w:t>
            </w:r>
            <w:r w:rsidR="00CF2789">
              <w:rPr>
                <w:rFonts w:cs="Arial"/>
                <w:spacing w:val="-3"/>
              </w:rPr>
              <w:t xml:space="preserve"> and younger</w:t>
            </w:r>
          </w:p>
        </w:tc>
        <w:tc>
          <w:tcPr>
            <w:tcW w:w="2575" w:type="dxa"/>
            <w:tcBorders>
              <w:top w:val="single" w:sz="12" w:space="0" w:color="auto"/>
              <w:left w:val="single" w:sz="4" w:space="0" w:color="auto"/>
              <w:bottom w:val="single" w:sz="4" w:space="0" w:color="auto"/>
              <w:right w:val="double" w:sz="4" w:space="0" w:color="auto"/>
            </w:tcBorders>
            <w:hideMark/>
          </w:tcPr>
          <w:p w:rsidR="00D24A14"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0.005</w:t>
            </w:r>
          </w:p>
        </w:tc>
      </w:tr>
      <w:tr w:rsidR="00CF2789" w:rsidTr="00D24A14">
        <w:trPr>
          <w:jc w:val="center"/>
        </w:trPr>
        <w:tc>
          <w:tcPr>
            <w:tcW w:w="2487" w:type="dxa"/>
            <w:tcBorders>
              <w:top w:val="single" w:sz="4" w:space="0" w:color="auto"/>
              <w:left w:val="double" w:sz="4" w:space="0" w:color="auto"/>
              <w:bottom w:val="single" w:sz="4" w:space="0" w:color="auto"/>
              <w:right w:val="single" w:sz="4" w:space="0" w:color="auto"/>
            </w:tcBorders>
          </w:tcPr>
          <w:p w:rsidR="00CF2789"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60</w:t>
            </w:r>
          </w:p>
        </w:tc>
        <w:tc>
          <w:tcPr>
            <w:tcW w:w="2575" w:type="dxa"/>
            <w:tcBorders>
              <w:top w:val="single" w:sz="4" w:space="0" w:color="auto"/>
              <w:left w:val="single" w:sz="4" w:space="0" w:color="auto"/>
              <w:bottom w:val="single" w:sz="4" w:space="0" w:color="auto"/>
              <w:right w:val="double" w:sz="4" w:space="0" w:color="auto"/>
            </w:tcBorders>
          </w:tcPr>
          <w:p w:rsidR="00030F42" w:rsidRDefault="00030F42" w:rsidP="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0.010</w:t>
            </w:r>
          </w:p>
        </w:tc>
      </w:tr>
      <w:tr w:rsidR="00CF2789" w:rsidTr="00D24A14">
        <w:trPr>
          <w:jc w:val="center"/>
        </w:trPr>
        <w:tc>
          <w:tcPr>
            <w:tcW w:w="2487" w:type="dxa"/>
            <w:tcBorders>
              <w:top w:val="single" w:sz="4" w:space="0" w:color="auto"/>
              <w:left w:val="double" w:sz="4" w:space="0" w:color="auto"/>
              <w:bottom w:val="single" w:sz="4" w:space="0" w:color="auto"/>
              <w:right w:val="single" w:sz="4" w:space="0" w:color="auto"/>
            </w:tcBorders>
          </w:tcPr>
          <w:p w:rsidR="00CF2789"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61</w:t>
            </w:r>
          </w:p>
        </w:tc>
        <w:tc>
          <w:tcPr>
            <w:tcW w:w="2575" w:type="dxa"/>
            <w:tcBorders>
              <w:top w:val="single" w:sz="4" w:space="0" w:color="auto"/>
              <w:left w:val="single" w:sz="4" w:space="0" w:color="auto"/>
              <w:bottom w:val="single" w:sz="4" w:space="0" w:color="auto"/>
              <w:right w:val="double" w:sz="4" w:space="0" w:color="auto"/>
            </w:tcBorders>
          </w:tcPr>
          <w:p w:rsidR="00CF2789"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0.015</w:t>
            </w:r>
          </w:p>
        </w:tc>
      </w:tr>
      <w:tr w:rsidR="00CF2789" w:rsidTr="00D24A14">
        <w:trPr>
          <w:jc w:val="center"/>
        </w:trPr>
        <w:tc>
          <w:tcPr>
            <w:tcW w:w="2487" w:type="dxa"/>
            <w:tcBorders>
              <w:top w:val="single" w:sz="4" w:space="0" w:color="auto"/>
              <w:left w:val="double" w:sz="4" w:space="0" w:color="auto"/>
              <w:bottom w:val="single" w:sz="4" w:space="0" w:color="auto"/>
              <w:right w:val="single" w:sz="4" w:space="0" w:color="auto"/>
            </w:tcBorders>
          </w:tcPr>
          <w:p w:rsidR="00CF2789"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62</w:t>
            </w:r>
          </w:p>
        </w:tc>
        <w:tc>
          <w:tcPr>
            <w:tcW w:w="2575" w:type="dxa"/>
            <w:tcBorders>
              <w:top w:val="single" w:sz="4" w:space="0" w:color="auto"/>
              <w:left w:val="single" w:sz="4" w:space="0" w:color="auto"/>
              <w:bottom w:val="single" w:sz="4" w:space="0" w:color="auto"/>
              <w:right w:val="double" w:sz="4" w:space="0" w:color="auto"/>
            </w:tcBorders>
          </w:tcPr>
          <w:p w:rsidR="00CF2789"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0.020</w:t>
            </w:r>
          </w:p>
        </w:tc>
      </w:tr>
      <w:tr w:rsidR="00CF2789" w:rsidTr="00D24A14">
        <w:trPr>
          <w:jc w:val="center"/>
        </w:trPr>
        <w:tc>
          <w:tcPr>
            <w:tcW w:w="2487" w:type="dxa"/>
            <w:tcBorders>
              <w:top w:val="single" w:sz="4" w:space="0" w:color="auto"/>
              <w:left w:val="double" w:sz="4" w:space="0" w:color="auto"/>
              <w:bottom w:val="single" w:sz="4" w:space="0" w:color="auto"/>
              <w:right w:val="single" w:sz="4" w:space="0" w:color="auto"/>
            </w:tcBorders>
          </w:tcPr>
          <w:p w:rsidR="00CF2789"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63</w:t>
            </w:r>
          </w:p>
        </w:tc>
        <w:tc>
          <w:tcPr>
            <w:tcW w:w="2575" w:type="dxa"/>
            <w:tcBorders>
              <w:top w:val="single" w:sz="4" w:space="0" w:color="auto"/>
              <w:left w:val="single" w:sz="4" w:space="0" w:color="auto"/>
              <w:bottom w:val="single" w:sz="4" w:space="0" w:color="auto"/>
              <w:right w:val="double" w:sz="4" w:space="0" w:color="auto"/>
            </w:tcBorders>
          </w:tcPr>
          <w:p w:rsidR="00CF2789"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0.025</w:t>
            </w:r>
          </w:p>
        </w:tc>
      </w:tr>
      <w:tr w:rsidR="00CF2789" w:rsidTr="00D24A14">
        <w:trPr>
          <w:jc w:val="center"/>
        </w:trPr>
        <w:tc>
          <w:tcPr>
            <w:tcW w:w="2487" w:type="dxa"/>
            <w:tcBorders>
              <w:top w:val="single" w:sz="4" w:space="0" w:color="auto"/>
              <w:left w:val="double" w:sz="4" w:space="0" w:color="auto"/>
              <w:bottom w:val="single" w:sz="4" w:space="0" w:color="auto"/>
              <w:right w:val="single" w:sz="4" w:space="0" w:color="auto"/>
            </w:tcBorders>
          </w:tcPr>
          <w:p w:rsidR="00CF2789"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64</w:t>
            </w:r>
          </w:p>
        </w:tc>
        <w:tc>
          <w:tcPr>
            <w:tcW w:w="2575" w:type="dxa"/>
            <w:tcBorders>
              <w:top w:val="single" w:sz="4" w:space="0" w:color="auto"/>
              <w:left w:val="single" w:sz="4" w:space="0" w:color="auto"/>
              <w:bottom w:val="single" w:sz="4" w:space="0" w:color="auto"/>
              <w:right w:val="double" w:sz="4" w:space="0" w:color="auto"/>
            </w:tcBorders>
          </w:tcPr>
          <w:p w:rsidR="00CF2789"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0.030</w:t>
            </w:r>
          </w:p>
        </w:tc>
      </w:tr>
      <w:tr w:rsidR="00D24A14" w:rsidTr="00CF2789">
        <w:trPr>
          <w:jc w:val="center"/>
        </w:trPr>
        <w:tc>
          <w:tcPr>
            <w:tcW w:w="2487" w:type="dxa"/>
            <w:tcBorders>
              <w:top w:val="single" w:sz="4" w:space="0" w:color="auto"/>
              <w:left w:val="double" w:sz="4" w:space="0" w:color="auto"/>
              <w:bottom w:val="single" w:sz="4" w:space="0" w:color="auto"/>
              <w:right w:val="single" w:sz="4" w:space="0" w:color="auto"/>
            </w:tcBorders>
            <w:hideMark/>
          </w:tcPr>
          <w:p w:rsidR="00D24A14" w:rsidRDefault="00CF2789" w:rsidP="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65</w:t>
            </w:r>
          </w:p>
        </w:tc>
        <w:tc>
          <w:tcPr>
            <w:tcW w:w="2575" w:type="dxa"/>
            <w:tcBorders>
              <w:top w:val="single" w:sz="4" w:space="0" w:color="auto"/>
              <w:left w:val="single" w:sz="4" w:space="0" w:color="auto"/>
              <w:bottom w:val="single" w:sz="4" w:space="0" w:color="auto"/>
              <w:right w:val="double" w:sz="4" w:space="0" w:color="auto"/>
            </w:tcBorders>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0.050</w:t>
            </w:r>
          </w:p>
        </w:tc>
      </w:tr>
      <w:tr w:rsidR="00D24A14" w:rsidTr="00CF2789">
        <w:trPr>
          <w:jc w:val="center"/>
        </w:trPr>
        <w:tc>
          <w:tcPr>
            <w:tcW w:w="2487" w:type="dxa"/>
            <w:tcBorders>
              <w:top w:val="single" w:sz="4" w:space="0" w:color="auto"/>
              <w:left w:val="double" w:sz="4" w:space="0" w:color="auto"/>
              <w:bottom w:val="single" w:sz="4" w:space="0" w:color="auto"/>
              <w:right w:val="single" w:sz="4" w:space="0" w:color="auto"/>
            </w:tcBorders>
            <w:hideMark/>
          </w:tcPr>
          <w:p w:rsidR="00D24A14"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66</w:t>
            </w:r>
          </w:p>
        </w:tc>
        <w:tc>
          <w:tcPr>
            <w:tcW w:w="2575" w:type="dxa"/>
            <w:tcBorders>
              <w:top w:val="single" w:sz="4" w:space="0" w:color="auto"/>
              <w:left w:val="single" w:sz="4" w:space="0" w:color="auto"/>
              <w:bottom w:val="single" w:sz="4" w:space="0" w:color="auto"/>
              <w:right w:val="double" w:sz="4" w:space="0" w:color="auto"/>
            </w:tcBorders>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0.075</w:t>
            </w:r>
          </w:p>
        </w:tc>
      </w:tr>
      <w:tr w:rsidR="00D24A14" w:rsidTr="00CF2789">
        <w:trPr>
          <w:jc w:val="center"/>
        </w:trPr>
        <w:tc>
          <w:tcPr>
            <w:tcW w:w="2487" w:type="dxa"/>
            <w:tcBorders>
              <w:top w:val="single" w:sz="4" w:space="0" w:color="auto"/>
              <w:left w:val="double" w:sz="4" w:space="0" w:color="auto"/>
              <w:bottom w:val="single" w:sz="4" w:space="0" w:color="auto"/>
              <w:right w:val="single" w:sz="4" w:space="0" w:color="auto"/>
            </w:tcBorders>
            <w:hideMark/>
          </w:tcPr>
          <w:p w:rsidR="00D24A14" w:rsidRDefault="00CF2789">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67</w:t>
            </w:r>
          </w:p>
        </w:tc>
        <w:tc>
          <w:tcPr>
            <w:tcW w:w="2575" w:type="dxa"/>
            <w:tcBorders>
              <w:top w:val="single" w:sz="4" w:space="0" w:color="auto"/>
              <w:left w:val="single" w:sz="4" w:space="0" w:color="auto"/>
              <w:bottom w:val="single" w:sz="4" w:space="0" w:color="auto"/>
              <w:right w:val="double" w:sz="4" w:space="0" w:color="auto"/>
            </w:tcBorders>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0.100</w:t>
            </w:r>
          </w:p>
        </w:tc>
      </w:tr>
      <w:tr w:rsidR="00D24A14" w:rsidTr="00CF2789">
        <w:trPr>
          <w:jc w:val="center"/>
        </w:trPr>
        <w:tc>
          <w:tcPr>
            <w:tcW w:w="2487" w:type="dxa"/>
            <w:tcBorders>
              <w:top w:val="single" w:sz="4" w:space="0" w:color="auto"/>
              <w:left w:val="double" w:sz="4" w:space="0" w:color="auto"/>
              <w:bottom w:val="nil"/>
              <w:right w:val="sing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68</w:t>
            </w:r>
          </w:p>
        </w:tc>
        <w:tc>
          <w:tcPr>
            <w:tcW w:w="2575" w:type="dxa"/>
            <w:tcBorders>
              <w:top w:val="single" w:sz="4" w:space="0" w:color="auto"/>
              <w:left w:val="single" w:sz="4" w:space="0" w:color="auto"/>
              <w:bottom w:val="nil"/>
              <w:right w:val="double" w:sz="4" w:space="0" w:color="auto"/>
            </w:tcBorders>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0.150</w:t>
            </w:r>
          </w:p>
        </w:tc>
      </w:tr>
      <w:tr w:rsidR="00D24A14" w:rsidTr="00CF2789">
        <w:trPr>
          <w:jc w:val="center"/>
        </w:trPr>
        <w:tc>
          <w:tcPr>
            <w:tcW w:w="2487" w:type="dxa"/>
            <w:tcBorders>
              <w:top w:val="single" w:sz="4" w:space="0" w:color="auto"/>
              <w:left w:val="double" w:sz="4" w:space="0" w:color="auto"/>
              <w:bottom w:val="single" w:sz="4" w:space="0" w:color="auto"/>
              <w:right w:val="sing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69</w:t>
            </w:r>
          </w:p>
        </w:tc>
        <w:tc>
          <w:tcPr>
            <w:tcW w:w="2575" w:type="dxa"/>
            <w:tcBorders>
              <w:top w:val="single" w:sz="4" w:space="0" w:color="auto"/>
              <w:left w:val="single" w:sz="4" w:space="0" w:color="auto"/>
              <w:bottom w:val="single" w:sz="4" w:space="0" w:color="auto"/>
              <w:right w:val="double" w:sz="4" w:space="0" w:color="auto"/>
            </w:tcBorders>
          </w:tcPr>
          <w:p w:rsidR="00D24A14" w:rsidRDefault="00030F42">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0.200</w:t>
            </w:r>
          </w:p>
        </w:tc>
      </w:tr>
      <w:tr w:rsidR="00D24A14" w:rsidTr="00D24A14">
        <w:trPr>
          <w:jc w:val="center"/>
        </w:trPr>
        <w:tc>
          <w:tcPr>
            <w:tcW w:w="2487" w:type="dxa"/>
            <w:tcBorders>
              <w:top w:val="single" w:sz="4" w:space="0" w:color="auto"/>
              <w:left w:val="double" w:sz="4" w:space="0" w:color="auto"/>
              <w:bottom w:val="double" w:sz="4" w:space="0" w:color="auto"/>
              <w:right w:val="sing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70</w:t>
            </w:r>
          </w:p>
        </w:tc>
        <w:tc>
          <w:tcPr>
            <w:tcW w:w="2575" w:type="dxa"/>
            <w:tcBorders>
              <w:top w:val="single" w:sz="4" w:space="0" w:color="auto"/>
              <w:left w:val="single" w:sz="4" w:space="0" w:color="auto"/>
              <w:bottom w:val="double" w:sz="4" w:space="0" w:color="auto"/>
              <w:right w:val="double" w:sz="4" w:space="0" w:color="auto"/>
            </w:tcBorders>
            <w:hideMark/>
          </w:tcPr>
          <w:p w:rsidR="00D24A14" w:rsidRDefault="00D24A14">
            <w:pPr>
              <w:tabs>
                <w:tab w:val="left" w:pos="-1440"/>
                <w:tab w:val="left" w:pos="-720"/>
                <w:tab w:val="left" w:pos="720"/>
                <w:tab w:val="left" w:pos="1110"/>
                <w:tab w:val="left" w:pos="2552"/>
              </w:tabs>
              <w:suppressAutoHyphens/>
              <w:spacing w:before="60" w:after="60"/>
              <w:jc w:val="center"/>
              <w:rPr>
                <w:rFonts w:cs="Arial"/>
                <w:spacing w:val="-3"/>
              </w:rPr>
            </w:pPr>
            <w:r>
              <w:rPr>
                <w:rFonts w:cs="Arial"/>
                <w:spacing w:val="-3"/>
              </w:rPr>
              <w:t>1.00</w:t>
            </w:r>
            <w:r w:rsidR="00030F42">
              <w:rPr>
                <w:rFonts w:cs="Arial"/>
                <w:spacing w:val="-3"/>
              </w:rPr>
              <w:t>0</w:t>
            </w:r>
          </w:p>
        </w:tc>
      </w:tr>
    </w:tbl>
    <w:p w:rsidR="00090B99" w:rsidRDefault="00090B99" w:rsidP="00030F42">
      <w:pPr>
        <w:keepNext/>
        <w:tabs>
          <w:tab w:val="left" w:pos="-1440"/>
          <w:tab w:val="left" w:pos="-703"/>
          <w:tab w:val="left" w:pos="0"/>
          <w:tab w:val="left" w:pos="941"/>
          <w:tab w:val="left" w:pos="1440"/>
        </w:tabs>
        <w:suppressAutoHyphens/>
        <w:rPr>
          <w:rFonts w:cs="Arial"/>
          <w:i/>
        </w:rPr>
      </w:pPr>
    </w:p>
    <w:p w:rsidR="00030F42" w:rsidRDefault="00030F42" w:rsidP="00030F42">
      <w:pPr>
        <w:keepNext/>
        <w:tabs>
          <w:tab w:val="left" w:pos="-1440"/>
          <w:tab w:val="left" w:pos="-703"/>
          <w:tab w:val="left" w:pos="0"/>
          <w:tab w:val="left" w:pos="941"/>
          <w:tab w:val="left" w:pos="1440"/>
        </w:tabs>
        <w:suppressAutoHyphens/>
      </w:pPr>
      <w:r>
        <w:rPr>
          <w:rFonts w:cs="Arial"/>
          <w:i/>
        </w:rPr>
        <w:t>Mortality and Invalidity Retirement</w:t>
      </w:r>
    </w:p>
    <w:p w:rsidR="00030F42" w:rsidRDefault="00030F42" w:rsidP="00030F42">
      <w:pPr>
        <w:tabs>
          <w:tab w:val="left" w:pos="-1440"/>
          <w:tab w:val="left" w:pos="-703"/>
          <w:tab w:val="left" w:pos="0"/>
          <w:tab w:val="left" w:pos="941"/>
          <w:tab w:val="left" w:pos="1440"/>
        </w:tabs>
        <w:suppressAutoHyphens/>
        <w:rPr>
          <w:rFonts w:cs="Arial"/>
        </w:rPr>
      </w:pPr>
      <w:r>
        <w:rPr>
          <w:rFonts w:cs="Arial"/>
        </w:rPr>
        <w:t>The table below illustrates the decrement rates used for deaths and invalidity retirements.  The figures represent the number of deaths and invalidity retirements expected per 100,000 contributors at each age.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90"/>
        <w:gridCol w:w="1540"/>
        <w:gridCol w:w="1576"/>
        <w:gridCol w:w="1504"/>
        <w:gridCol w:w="1563"/>
      </w:tblGrid>
      <w:tr w:rsidR="00030F42" w:rsidTr="00030F42">
        <w:trPr>
          <w:jc w:val="center"/>
        </w:trPr>
        <w:tc>
          <w:tcPr>
            <w:tcW w:w="990" w:type="dxa"/>
            <w:vMerge w:val="restart"/>
            <w:tcBorders>
              <w:top w:val="double" w:sz="4" w:space="0" w:color="auto"/>
              <w:left w:val="double" w:sz="4" w:space="0" w:color="auto"/>
              <w:bottom w:val="single" w:sz="12"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lastRenderedPageBreak/>
              <w:br/>
              <w:t>Age</w:t>
            </w:r>
          </w:p>
        </w:tc>
        <w:tc>
          <w:tcPr>
            <w:tcW w:w="3116" w:type="dxa"/>
            <w:gridSpan w:val="2"/>
            <w:tcBorders>
              <w:top w:val="doub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Deaths</w:t>
            </w:r>
          </w:p>
        </w:tc>
        <w:tc>
          <w:tcPr>
            <w:tcW w:w="3067" w:type="dxa"/>
            <w:gridSpan w:val="2"/>
            <w:tcBorders>
              <w:top w:val="double" w:sz="4" w:space="0" w:color="auto"/>
              <w:left w:val="single" w:sz="12" w:space="0" w:color="auto"/>
              <w:bottom w:val="single" w:sz="4" w:space="0" w:color="auto"/>
              <w:right w:val="doub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Invalid Retirements</w:t>
            </w:r>
          </w:p>
        </w:tc>
      </w:tr>
      <w:tr w:rsidR="00030F42" w:rsidTr="00030F42">
        <w:trPr>
          <w:jc w:val="center"/>
        </w:trPr>
        <w:tc>
          <w:tcPr>
            <w:tcW w:w="0" w:type="auto"/>
            <w:vMerge/>
            <w:tcBorders>
              <w:top w:val="double" w:sz="4" w:space="0" w:color="auto"/>
              <w:left w:val="double" w:sz="4" w:space="0" w:color="auto"/>
              <w:bottom w:val="single" w:sz="12" w:space="0" w:color="auto"/>
              <w:right w:val="single" w:sz="4" w:space="0" w:color="auto"/>
            </w:tcBorders>
            <w:vAlign w:val="center"/>
            <w:hideMark/>
          </w:tcPr>
          <w:p w:rsidR="00030F42" w:rsidRDefault="00030F42">
            <w:pPr>
              <w:spacing w:before="0" w:after="0" w:line="240" w:lineRule="auto"/>
              <w:jc w:val="left"/>
              <w:rPr>
                <w:rFonts w:cs="Arial"/>
                <w:b/>
              </w:rPr>
            </w:pPr>
          </w:p>
        </w:tc>
        <w:tc>
          <w:tcPr>
            <w:tcW w:w="1540" w:type="dxa"/>
            <w:tcBorders>
              <w:top w:val="single" w:sz="4" w:space="0" w:color="auto"/>
              <w:left w:val="single" w:sz="4" w:space="0" w:color="auto"/>
              <w:bottom w:val="single" w:sz="12"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Males</w:t>
            </w:r>
          </w:p>
        </w:tc>
        <w:tc>
          <w:tcPr>
            <w:tcW w:w="1576" w:type="dxa"/>
            <w:tcBorders>
              <w:top w:val="single" w:sz="4" w:space="0" w:color="auto"/>
              <w:left w:val="single" w:sz="4" w:space="0" w:color="auto"/>
              <w:bottom w:val="single" w:sz="12" w:space="0" w:color="auto"/>
              <w:right w:val="single" w:sz="12"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Females</w:t>
            </w:r>
          </w:p>
        </w:tc>
        <w:tc>
          <w:tcPr>
            <w:tcW w:w="1504" w:type="dxa"/>
            <w:tcBorders>
              <w:top w:val="single" w:sz="4" w:space="0" w:color="auto"/>
              <w:left w:val="single" w:sz="12" w:space="0" w:color="auto"/>
              <w:bottom w:val="single" w:sz="12"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Males</w:t>
            </w:r>
          </w:p>
        </w:tc>
        <w:tc>
          <w:tcPr>
            <w:tcW w:w="1563" w:type="dxa"/>
            <w:tcBorders>
              <w:top w:val="single" w:sz="4" w:space="0" w:color="auto"/>
              <w:left w:val="single" w:sz="4" w:space="0" w:color="auto"/>
              <w:bottom w:val="single" w:sz="12" w:space="0" w:color="auto"/>
              <w:right w:val="doub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b/>
              </w:rPr>
            </w:pPr>
            <w:r>
              <w:rPr>
                <w:rFonts w:cs="Arial"/>
                <w:b/>
              </w:rPr>
              <w:t>Females</w:t>
            </w:r>
          </w:p>
        </w:tc>
      </w:tr>
      <w:tr w:rsidR="00030F42" w:rsidTr="00030F42">
        <w:trPr>
          <w:jc w:val="center"/>
        </w:trPr>
        <w:tc>
          <w:tcPr>
            <w:tcW w:w="990" w:type="dxa"/>
            <w:tcBorders>
              <w:top w:val="single" w:sz="12"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35</w:t>
            </w:r>
          </w:p>
        </w:tc>
        <w:tc>
          <w:tcPr>
            <w:tcW w:w="1540" w:type="dxa"/>
            <w:tcBorders>
              <w:top w:val="single" w:sz="12"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decimal" w:pos="830"/>
                <w:tab w:val="left" w:pos="1440"/>
              </w:tabs>
              <w:suppressAutoHyphens/>
              <w:spacing w:beforeLines="40" w:before="96" w:afterLines="40" w:after="96"/>
              <w:rPr>
                <w:rFonts w:cs="Arial"/>
              </w:rPr>
            </w:pPr>
            <w:r>
              <w:rPr>
                <w:rFonts w:cs="Arial"/>
              </w:rPr>
              <w:tab/>
              <w:t>38</w:t>
            </w:r>
          </w:p>
        </w:tc>
        <w:tc>
          <w:tcPr>
            <w:tcW w:w="1576" w:type="dxa"/>
            <w:tcBorders>
              <w:top w:val="single" w:sz="12"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20</w:t>
            </w:r>
          </w:p>
        </w:tc>
        <w:tc>
          <w:tcPr>
            <w:tcW w:w="1504" w:type="dxa"/>
            <w:tcBorders>
              <w:top w:val="single" w:sz="12"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57</w:t>
            </w:r>
          </w:p>
        </w:tc>
        <w:tc>
          <w:tcPr>
            <w:tcW w:w="1563" w:type="dxa"/>
            <w:tcBorders>
              <w:top w:val="single" w:sz="12"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61</w:t>
            </w:r>
          </w:p>
        </w:tc>
      </w:tr>
      <w:tr w:rsidR="00030F42" w:rsidTr="00030F42">
        <w:trPr>
          <w:jc w:val="center"/>
        </w:trPr>
        <w:tc>
          <w:tcPr>
            <w:tcW w:w="990" w:type="dxa"/>
            <w:tcBorders>
              <w:top w:val="single" w:sz="4"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40</w:t>
            </w:r>
          </w:p>
        </w:tc>
        <w:tc>
          <w:tcPr>
            <w:tcW w:w="1540" w:type="dxa"/>
            <w:tcBorders>
              <w:top w:val="single" w:sz="4"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47</w:t>
            </w:r>
          </w:p>
        </w:tc>
        <w:tc>
          <w:tcPr>
            <w:tcW w:w="1576" w:type="dxa"/>
            <w:tcBorders>
              <w:top w:val="sing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26</w:t>
            </w:r>
          </w:p>
        </w:tc>
        <w:tc>
          <w:tcPr>
            <w:tcW w:w="1504" w:type="dxa"/>
            <w:tcBorders>
              <w:top w:val="single" w:sz="4"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79</w:t>
            </w:r>
          </w:p>
        </w:tc>
        <w:tc>
          <w:tcPr>
            <w:tcW w:w="1563" w:type="dxa"/>
            <w:tcBorders>
              <w:top w:val="single" w:sz="4"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103</w:t>
            </w:r>
          </w:p>
        </w:tc>
      </w:tr>
      <w:tr w:rsidR="00030F42" w:rsidTr="00030F42">
        <w:trPr>
          <w:jc w:val="center"/>
        </w:trPr>
        <w:tc>
          <w:tcPr>
            <w:tcW w:w="990" w:type="dxa"/>
            <w:tcBorders>
              <w:top w:val="single" w:sz="4"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45</w:t>
            </w:r>
          </w:p>
        </w:tc>
        <w:tc>
          <w:tcPr>
            <w:tcW w:w="1540" w:type="dxa"/>
            <w:tcBorders>
              <w:top w:val="single" w:sz="4"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63</w:t>
            </w:r>
          </w:p>
        </w:tc>
        <w:tc>
          <w:tcPr>
            <w:tcW w:w="1576" w:type="dxa"/>
            <w:tcBorders>
              <w:top w:val="sing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41</w:t>
            </w:r>
          </w:p>
        </w:tc>
        <w:tc>
          <w:tcPr>
            <w:tcW w:w="1504" w:type="dxa"/>
            <w:tcBorders>
              <w:top w:val="single" w:sz="4"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127</w:t>
            </w:r>
          </w:p>
        </w:tc>
        <w:tc>
          <w:tcPr>
            <w:tcW w:w="1563" w:type="dxa"/>
            <w:tcBorders>
              <w:top w:val="single" w:sz="4"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164</w:t>
            </w:r>
          </w:p>
        </w:tc>
      </w:tr>
      <w:tr w:rsidR="00030F42" w:rsidTr="00030F42">
        <w:trPr>
          <w:jc w:val="center"/>
        </w:trPr>
        <w:tc>
          <w:tcPr>
            <w:tcW w:w="990" w:type="dxa"/>
            <w:tcBorders>
              <w:top w:val="single" w:sz="4"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50</w:t>
            </w:r>
          </w:p>
        </w:tc>
        <w:tc>
          <w:tcPr>
            <w:tcW w:w="1540" w:type="dxa"/>
            <w:tcBorders>
              <w:top w:val="single" w:sz="4"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88</w:t>
            </w:r>
          </w:p>
        </w:tc>
        <w:tc>
          <w:tcPr>
            <w:tcW w:w="1576" w:type="dxa"/>
            <w:tcBorders>
              <w:top w:val="sing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62</w:t>
            </w:r>
          </w:p>
        </w:tc>
        <w:tc>
          <w:tcPr>
            <w:tcW w:w="1504" w:type="dxa"/>
            <w:tcBorders>
              <w:top w:val="single" w:sz="4"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194</w:t>
            </w:r>
          </w:p>
        </w:tc>
        <w:tc>
          <w:tcPr>
            <w:tcW w:w="1563" w:type="dxa"/>
            <w:tcBorders>
              <w:top w:val="single" w:sz="4"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255</w:t>
            </w:r>
          </w:p>
        </w:tc>
      </w:tr>
      <w:tr w:rsidR="00030F42" w:rsidTr="00030F42">
        <w:trPr>
          <w:jc w:val="center"/>
        </w:trPr>
        <w:tc>
          <w:tcPr>
            <w:tcW w:w="990" w:type="dxa"/>
            <w:tcBorders>
              <w:top w:val="single" w:sz="4"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55</w:t>
            </w:r>
          </w:p>
        </w:tc>
        <w:tc>
          <w:tcPr>
            <w:tcW w:w="1540" w:type="dxa"/>
            <w:tcBorders>
              <w:top w:val="single" w:sz="4"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124</w:t>
            </w:r>
          </w:p>
        </w:tc>
        <w:tc>
          <w:tcPr>
            <w:tcW w:w="1576" w:type="dxa"/>
            <w:tcBorders>
              <w:top w:val="sing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106</w:t>
            </w:r>
          </w:p>
        </w:tc>
        <w:tc>
          <w:tcPr>
            <w:tcW w:w="1504" w:type="dxa"/>
            <w:tcBorders>
              <w:top w:val="single" w:sz="4"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305</w:t>
            </w:r>
          </w:p>
        </w:tc>
        <w:tc>
          <w:tcPr>
            <w:tcW w:w="1563" w:type="dxa"/>
            <w:tcBorders>
              <w:top w:val="single" w:sz="4"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426</w:t>
            </w:r>
          </w:p>
        </w:tc>
      </w:tr>
      <w:tr w:rsidR="00030F42" w:rsidTr="00030F42">
        <w:trPr>
          <w:jc w:val="center"/>
        </w:trPr>
        <w:tc>
          <w:tcPr>
            <w:tcW w:w="990" w:type="dxa"/>
            <w:tcBorders>
              <w:top w:val="single" w:sz="4" w:space="0" w:color="auto"/>
              <w:left w:val="double" w:sz="4" w:space="0" w:color="auto"/>
              <w:bottom w:val="sing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60</w:t>
            </w:r>
          </w:p>
        </w:tc>
        <w:tc>
          <w:tcPr>
            <w:tcW w:w="1540" w:type="dxa"/>
            <w:tcBorders>
              <w:top w:val="single" w:sz="4" w:space="0" w:color="auto"/>
              <w:left w:val="single" w:sz="4"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183</w:t>
            </w:r>
          </w:p>
        </w:tc>
        <w:tc>
          <w:tcPr>
            <w:tcW w:w="1576" w:type="dxa"/>
            <w:tcBorders>
              <w:top w:val="single" w:sz="4" w:space="0" w:color="auto"/>
              <w:left w:val="single" w:sz="4" w:space="0" w:color="auto"/>
              <w:bottom w:val="sing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173</w:t>
            </w:r>
          </w:p>
        </w:tc>
        <w:tc>
          <w:tcPr>
            <w:tcW w:w="1504" w:type="dxa"/>
            <w:tcBorders>
              <w:top w:val="single" w:sz="4" w:space="0" w:color="auto"/>
              <w:left w:val="single" w:sz="12" w:space="0" w:color="auto"/>
              <w:bottom w:val="sing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601</w:t>
            </w:r>
          </w:p>
        </w:tc>
        <w:tc>
          <w:tcPr>
            <w:tcW w:w="1563" w:type="dxa"/>
            <w:tcBorders>
              <w:top w:val="single" w:sz="4" w:space="0" w:color="auto"/>
              <w:left w:val="single" w:sz="4" w:space="0" w:color="auto"/>
              <w:bottom w:val="sing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646</w:t>
            </w:r>
          </w:p>
        </w:tc>
      </w:tr>
      <w:tr w:rsidR="00030F42" w:rsidTr="00900B95">
        <w:trPr>
          <w:jc w:val="center"/>
        </w:trPr>
        <w:tc>
          <w:tcPr>
            <w:tcW w:w="990" w:type="dxa"/>
            <w:tcBorders>
              <w:top w:val="single" w:sz="4" w:space="0" w:color="auto"/>
              <w:left w:val="double" w:sz="4" w:space="0" w:color="auto"/>
              <w:bottom w:val="double" w:sz="4" w:space="0" w:color="auto"/>
              <w:right w:val="single" w:sz="4" w:space="0" w:color="auto"/>
            </w:tcBorders>
            <w:hideMark/>
          </w:tcPr>
          <w:p w:rsidR="00030F42" w:rsidRDefault="00030F42" w:rsidP="002A4203">
            <w:pPr>
              <w:tabs>
                <w:tab w:val="left" w:pos="-1440"/>
                <w:tab w:val="left" w:pos="-703"/>
                <w:tab w:val="left" w:pos="0"/>
                <w:tab w:val="left" w:pos="941"/>
                <w:tab w:val="left" w:pos="1440"/>
              </w:tabs>
              <w:suppressAutoHyphens/>
              <w:spacing w:beforeLines="40" w:before="96" w:afterLines="40" w:after="96"/>
              <w:jc w:val="center"/>
              <w:rPr>
                <w:rFonts w:cs="Arial"/>
              </w:rPr>
            </w:pPr>
            <w:r>
              <w:rPr>
                <w:rFonts w:cs="Arial"/>
              </w:rPr>
              <w:t>65</w:t>
            </w:r>
          </w:p>
        </w:tc>
        <w:tc>
          <w:tcPr>
            <w:tcW w:w="1540" w:type="dxa"/>
            <w:tcBorders>
              <w:top w:val="single" w:sz="4" w:space="0" w:color="auto"/>
              <w:left w:val="single" w:sz="4" w:space="0" w:color="auto"/>
              <w:bottom w:val="double" w:sz="4" w:space="0" w:color="auto"/>
              <w:right w:val="single" w:sz="4" w:space="0" w:color="auto"/>
            </w:tcBorders>
            <w:hideMark/>
          </w:tcPr>
          <w:p w:rsidR="00030F42" w:rsidRDefault="00030F42" w:rsidP="002A4203">
            <w:pPr>
              <w:tabs>
                <w:tab w:val="left" w:pos="-1440"/>
                <w:tab w:val="left" w:pos="-703"/>
                <w:tab w:val="left" w:pos="0"/>
                <w:tab w:val="decimal" w:pos="830"/>
                <w:tab w:val="left" w:pos="1440"/>
              </w:tabs>
              <w:suppressAutoHyphens/>
              <w:spacing w:beforeLines="40" w:before="96" w:afterLines="40" w:after="96"/>
              <w:rPr>
                <w:rFonts w:cs="Arial"/>
              </w:rPr>
            </w:pPr>
            <w:r>
              <w:rPr>
                <w:rFonts w:cs="Arial"/>
              </w:rPr>
              <w:tab/>
              <w:t>274</w:t>
            </w:r>
          </w:p>
        </w:tc>
        <w:tc>
          <w:tcPr>
            <w:tcW w:w="1576" w:type="dxa"/>
            <w:tcBorders>
              <w:top w:val="single" w:sz="4" w:space="0" w:color="auto"/>
              <w:left w:val="single" w:sz="4" w:space="0" w:color="auto"/>
              <w:bottom w:val="double" w:sz="4" w:space="0" w:color="auto"/>
              <w:right w:val="single" w:sz="12" w:space="0" w:color="auto"/>
            </w:tcBorders>
            <w:hideMark/>
          </w:tcPr>
          <w:p w:rsidR="00030F42" w:rsidRDefault="00030F42" w:rsidP="002A4203">
            <w:pPr>
              <w:tabs>
                <w:tab w:val="left" w:pos="-1440"/>
                <w:tab w:val="left" w:pos="-703"/>
                <w:tab w:val="left" w:pos="0"/>
                <w:tab w:val="decimal" w:pos="770"/>
                <w:tab w:val="left" w:pos="1440"/>
              </w:tabs>
              <w:suppressAutoHyphens/>
              <w:spacing w:beforeLines="40" w:before="96" w:afterLines="40" w:after="96"/>
              <w:rPr>
                <w:rFonts w:cs="Arial"/>
              </w:rPr>
            </w:pPr>
            <w:r>
              <w:rPr>
                <w:rFonts w:cs="Arial"/>
              </w:rPr>
              <w:tab/>
              <w:t>269</w:t>
            </w:r>
          </w:p>
        </w:tc>
        <w:tc>
          <w:tcPr>
            <w:tcW w:w="1504" w:type="dxa"/>
            <w:tcBorders>
              <w:top w:val="single" w:sz="4" w:space="0" w:color="auto"/>
              <w:left w:val="single" w:sz="12" w:space="0" w:color="auto"/>
              <w:bottom w:val="double" w:sz="4" w:space="0" w:color="auto"/>
              <w:right w:val="single" w:sz="4" w:space="0" w:color="auto"/>
            </w:tcBorders>
            <w:hideMark/>
          </w:tcPr>
          <w:p w:rsidR="00030F42" w:rsidRDefault="00030F42" w:rsidP="002A4203">
            <w:pPr>
              <w:tabs>
                <w:tab w:val="left" w:pos="-1440"/>
                <w:tab w:val="left" w:pos="-703"/>
                <w:tab w:val="left" w:pos="0"/>
                <w:tab w:val="decimal" w:pos="839"/>
                <w:tab w:val="left" w:pos="1440"/>
              </w:tabs>
              <w:suppressAutoHyphens/>
              <w:spacing w:beforeLines="40" w:before="96" w:afterLines="40" w:after="96"/>
              <w:rPr>
                <w:rFonts w:cs="Arial"/>
              </w:rPr>
            </w:pPr>
            <w:r>
              <w:rPr>
                <w:rFonts w:cs="Arial"/>
              </w:rPr>
              <w:tab/>
              <w:t>704</w:t>
            </w:r>
          </w:p>
        </w:tc>
        <w:tc>
          <w:tcPr>
            <w:tcW w:w="1563" w:type="dxa"/>
            <w:tcBorders>
              <w:top w:val="single" w:sz="4" w:space="0" w:color="auto"/>
              <w:left w:val="single" w:sz="4" w:space="0" w:color="auto"/>
              <w:bottom w:val="double" w:sz="4" w:space="0" w:color="auto"/>
              <w:right w:val="double" w:sz="4" w:space="0" w:color="auto"/>
            </w:tcBorders>
            <w:hideMark/>
          </w:tcPr>
          <w:p w:rsidR="00030F42" w:rsidRDefault="00030F42" w:rsidP="002A4203">
            <w:pPr>
              <w:tabs>
                <w:tab w:val="left" w:pos="-1440"/>
                <w:tab w:val="left" w:pos="-703"/>
                <w:tab w:val="left" w:pos="0"/>
                <w:tab w:val="decimal" w:pos="873"/>
              </w:tabs>
              <w:suppressAutoHyphens/>
              <w:spacing w:beforeLines="40" w:before="96" w:afterLines="40" w:after="96"/>
              <w:rPr>
                <w:rFonts w:cs="Arial"/>
              </w:rPr>
            </w:pPr>
            <w:r>
              <w:rPr>
                <w:rFonts w:cs="Arial"/>
              </w:rPr>
              <w:tab/>
              <w:t>851</w:t>
            </w:r>
          </w:p>
        </w:tc>
      </w:tr>
    </w:tbl>
    <w:p w:rsidR="00030F42" w:rsidRDefault="00030F42" w:rsidP="00030F42">
      <w:pPr>
        <w:tabs>
          <w:tab w:val="left" w:pos="-1440"/>
          <w:tab w:val="left" w:pos="-703"/>
          <w:tab w:val="left" w:pos="0"/>
          <w:tab w:val="left" w:pos="941"/>
          <w:tab w:val="left" w:pos="1440"/>
        </w:tabs>
        <w:suppressAutoHyphens/>
        <w:rPr>
          <w:u w:val="single"/>
        </w:rPr>
      </w:pPr>
      <w:r>
        <w:rPr>
          <w:rFonts w:cs="Arial"/>
          <w:i/>
        </w:rPr>
        <w:t>Pensioner Mortality</w:t>
      </w:r>
    </w:p>
    <w:p w:rsidR="00030F42" w:rsidRDefault="00030F42" w:rsidP="00030F42">
      <w:pPr>
        <w:tabs>
          <w:tab w:val="left" w:pos="-1440"/>
          <w:tab w:val="left" w:pos="-703"/>
          <w:tab w:val="left" w:pos="0"/>
          <w:tab w:val="left" w:pos="941"/>
          <w:tab w:val="left" w:pos="1440"/>
        </w:tabs>
        <w:suppressAutoHyphens/>
        <w:rPr>
          <w:rFonts w:cs="Arial"/>
        </w:rPr>
      </w:pPr>
      <w:r>
        <w:rPr>
          <w:rFonts w:cs="Arial"/>
        </w:rPr>
        <w:t xml:space="preserve">The table below shows the mortality rates assumed for </w:t>
      </w:r>
      <w:r w:rsidR="00722AF5">
        <w:rPr>
          <w:rFonts w:cs="Arial"/>
        </w:rPr>
        <w:t>invalidity</w:t>
      </w:r>
      <w:r>
        <w:rPr>
          <w:rFonts w:cs="Arial"/>
        </w:rPr>
        <w:t xml:space="preserve"> pensioners.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2127"/>
      </w:tblGrid>
      <w:tr w:rsidR="00030F42" w:rsidTr="002744DF">
        <w:trPr>
          <w:tblHeader/>
          <w:jc w:val="center"/>
        </w:trPr>
        <w:tc>
          <w:tcPr>
            <w:tcW w:w="817" w:type="dxa"/>
            <w:tcBorders>
              <w:top w:val="double" w:sz="4" w:space="0" w:color="auto"/>
              <w:left w:val="double" w:sz="4" w:space="0" w:color="auto"/>
              <w:bottom w:val="single" w:sz="12" w:space="0" w:color="auto"/>
              <w:right w:val="single" w:sz="4" w:space="0" w:color="auto"/>
            </w:tcBorders>
            <w:hideMark/>
          </w:tcPr>
          <w:p w:rsidR="00030F42" w:rsidRDefault="00030F42">
            <w:pPr>
              <w:pStyle w:val="BodyText"/>
              <w:numPr>
                <w:ilvl w:val="0"/>
                <w:numId w:val="0"/>
              </w:numPr>
              <w:tabs>
                <w:tab w:val="left" w:pos="720"/>
              </w:tabs>
              <w:spacing w:before="60" w:after="60"/>
              <w:rPr>
                <w:rFonts w:cs="Arial"/>
                <w:b/>
              </w:rPr>
            </w:pPr>
            <w:r>
              <w:rPr>
                <w:rFonts w:cs="Arial"/>
                <w:b/>
              </w:rPr>
              <w:t>Age</w:t>
            </w:r>
          </w:p>
        </w:tc>
        <w:tc>
          <w:tcPr>
            <w:tcW w:w="2126" w:type="dxa"/>
            <w:tcBorders>
              <w:top w:val="double" w:sz="4" w:space="0" w:color="auto"/>
              <w:left w:val="single" w:sz="4" w:space="0" w:color="auto"/>
              <w:bottom w:val="single" w:sz="4" w:space="0" w:color="auto"/>
              <w:right w:val="single" w:sz="12" w:space="0" w:color="auto"/>
            </w:tcBorders>
            <w:hideMark/>
          </w:tcPr>
          <w:p w:rsidR="00030F42" w:rsidRDefault="00030F42">
            <w:pPr>
              <w:pStyle w:val="BodyText"/>
              <w:numPr>
                <w:ilvl w:val="0"/>
                <w:numId w:val="0"/>
              </w:numPr>
              <w:tabs>
                <w:tab w:val="left" w:pos="720"/>
              </w:tabs>
              <w:spacing w:before="60" w:after="60"/>
              <w:jc w:val="center"/>
              <w:rPr>
                <w:rFonts w:cs="Arial"/>
                <w:b/>
              </w:rPr>
            </w:pPr>
            <w:r>
              <w:rPr>
                <w:rFonts w:cs="Arial"/>
                <w:b/>
              </w:rPr>
              <w:t>Males</w:t>
            </w:r>
          </w:p>
        </w:tc>
        <w:tc>
          <w:tcPr>
            <w:tcW w:w="2127" w:type="dxa"/>
            <w:tcBorders>
              <w:top w:val="double" w:sz="4" w:space="0" w:color="auto"/>
              <w:left w:val="single" w:sz="12" w:space="0" w:color="auto"/>
              <w:bottom w:val="single" w:sz="4" w:space="0" w:color="auto"/>
              <w:right w:val="double" w:sz="4" w:space="0" w:color="auto"/>
            </w:tcBorders>
            <w:hideMark/>
          </w:tcPr>
          <w:p w:rsidR="00030F42" w:rsidRDefault="00030F42">
            <w:pPr>
              <w:pStyle w:val="BodyText"/>
              <w:numPr>
                <w:ilvl w:val="0"/>
                <w:numId w:val="0"/>
              </w:numPr>
              <w:tabs>
                <w:tab w:val="left" w:pos="720"/>
              </w:tabs>
              <w:spacing w:before="60" w:after="60"/>
              <w:jc w:val="center"/>
              <w:rPr>
                <w:rFonts w:cs="Arial"/>
                <w:b/>
              </w:rPr>
            </w:pPr>
            <w:r>
              <w:rPr>
                <w:rFonts w:cs="Arial"/>
                <w:b/>
              </w:rPr>
              <w:t>Females</w:t>
            </w:r>
          </w:p>
        </w:tc>
      </w:tr>
      <w:tr w:rsidR="00722AF5" w:rsidTr="00722AF5">
        <w:trPr>
          <w:jc w:val="center"/>
        </w:trPr>
        <w:tc>
          <w:tcPr>
            <w:tcW w:w="817" w:type="dxa"/>
            <w:tcBorders>
              <w:top w:val="single" w:sz="12" w:space="0" w:color="auto"/>
              <w:left w:val="double" w:sz="4" w:space="0" w:color="auto"/>
              <w:bottom w:val="single" w:sz="4" w:space="0" w:color="auto"/>
              <w:right w:val="single" w:sz="4" w:space="0" w:color="auto"/>
            </w:tcBorders>
            <w:hideMark/>
          </w:tcPr>
          <w:p w:rsidR="00722AF5" w:rsidRDefault="00722AF5">
            <w:pPr>
              <w:pStyle w:val="BodyText"/>
              <w:numPr>
                <w:ilvl w:val="0"/>
                <w:numId w:val="0"/>
              </w:numPr>
              <w:tabs>
                <w:tab w:val="left" w:pos="720"/>
              </w:tabs>
              <w:spacing w:before="60" w:after="60"/>
              <w:jc w:val="center"/>
              <w:rPr>
                <w:rFonts w:cs="Arial"/>
              </w:rPr>
            </w:pPr>
            <w:r>
              <w:rPr>
                <w:rFonts w:cs="Arial"/>
              </w:rPr>
              <w:t>40</w:t>
            </w:r>
          </w:p>
        </w:tc>
        <w:tc>
          <w:tcPr>
            <w:tcW w:w="2126" w:type="dxa"/>
            <w:tcBorders>
              <w:top w:val="single" w:sz="12" w:space="0" w:color="auto"/>
              <w:left w:val="single" w:sz="4" w:space="0" w:color="auto"/>
              <w:bottom w:val="single" w:sz="4" w:space="0" w:color="auto"/>
              <w:right w:val="single" w:sz="12" w:space="0" w:color="auto"/>
            </w:tcBorders>
            <w:hideMark/>
          </w:tcPr>
          <w:p w:rsidR="00722AF5" w:rsidRDefault="00CC6D60" w:rsidP="00722AF5">
            <w:pPr>
              <w:pStyle w:val="BodyText"/>
              <w:numPr>
                <w:ilvl w:val="0"/>
                <w:numId w:val="0"/>
              </w:numPr>
              <w:tabs>
                <w:tab w:val="left" w:pos="720"/>
              </w:tabs>
              <w:spacing w:before="60" w:after="60"/>
              <w:jc w:val="center"/>
              <w:rPr>
                <w:rFonts w:cs="Arial"/>
              </w:rPr>
            </w:pPr>
            <w:r>
              <w:rPr>
                <w:rFonts w:cs="Arial"/>
              </w:rPr>
              <w:t>0.00116</w:t>
            </w:r>
          </w:p>
        </w:tc>
        <w:tc>
          <w:tcPr>
            <w:tcW w:w="2127" w:type="dxa"/>
            <w:tcBorders>
              <w:top w:val="single" w:sz="12" w:space="0" w:color="auto"/>
              <w:left w:val="single" w:sz="12" w:space="0" w:color="auto"/>
              <w:bottom w:val="single" w:sz="4" w:space="0" w:color="auto"/>
              <w:right w:val="double" w:sz="4" w:space="0" w:color="auto"/>
            </w:tcBorders>
            <w:hideMark/>
          </w:tcPr>
          <w:p w:rsidR="00722AF5" w:rsidRDefault="00672166" w:rsidP="00722AF5">
            <w:pPr>
              <w:pStyle w:val="BodyText"/>
              <w:numPr>
                <w:ilvl w:val="0"/>
                <w:numId w:val="0"/>
              </w:numPr>
              <w:tabs>
                <w:tab w:val="left" w:pos="720"/>
              </w:tabs>
              <w:spacing w:before="60" w:after="60"/>
              <w:jc w:val="center"/>
              <w:rPr>
                <w:rFonts w:cs="Arial"/>
              </w:rPr>
            </w:pPr>
            <w:r>
              <w:rPr>
                <w:rFonts w:cs="Arial"/>
              </w:rPr>
              <w:t>0.0009</w:t>
            </w:r>
            <w:r w:rsidR="00CC6D60">
              <w:rPr>
                <w:rFonts w:cs="Arial"/>
              </w:rPr>
              <w:t>2</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hideMark/>
          </w:tcPr>
          <w:p w:rsidR="00722AF5" w:rsidRDefault="00722AF5">
            <w:pPr>
              <w:pStyle w:val="BodyText"/>
              <w:numPr>
                <w:ilvl w:val="0"/>
                <w:numId w:val="0"/>
              </w:numPr>
              <w:tabs>
                <w:tab w:val="left" w:pos="720"/>
              </w:tabs>
              <w:spacing w:before="60" w:after="60"/>
              <w:jc w:val="center"/>
              <w:rPr>
                <w:rFonts w:cs="Arial"/>
              </w:rPr>
            </w:pPr>
            <w:r>
              <w:rPr>
                <w:rFonts w:cs="Arial"/>
              </w:rPr>
              <w:t>50</w:t>
            </w:r>
          </w:p>
        </w:tc>
        <w:tc>
          <w:tcPr>
            <w:tcW w:w="2126" w:type="dxa"/>
            <w:tcBorders>
              <w:top w:val="single" w:sz="4" w:space="0" w:color="auto"/>
              <w:left w:val="single" w:sz="4" w:space="0" w:color="auto"/>
              <w:bottom w:val="single" w:sz="4" w:space="0" w:color="auto"/>
              <w:right w:val="single" w:sz="12" w:space="0" w:color="auto"/>
            </w:tcBorders>
            <w:hideMark/>
          </w:tcPr>
          <w:p w:rsidR="00722AF5" w:rsidRDefault="00CC6D60">
            <w:pPr>
              <w:pStyle w:val="BodyText"/>
              <w:numPr>
                <w:ilvl w:val="0"/>
                <w:numId w:val="0"/>
              </w:numPr>
              <w:tabs>
                <w:tab w:val="left" w:pos="720"/>
              </w:tabs>
              <w:spacing w:before="60" w:after="60"/>
              <w:jc w:val="center"/>
              <w:rPr>
                <w:rFonts w:cs="Arial"/>
              </w:rPr>
            </w:pPr>
            <w:r>
              <w:rPr>
                <w:rFonts w:cs="Arial"/>
              </w:rPr>
              <w:t>0.00203</w:t>
            </w:r>
          </w:p>
        </w:tc>
        <w:tc>
          <w:tcPr>
            <w:tcW w:w="2127" w:type="dxa"/>
            <w:tcBorders>
              <w:top w:val="single" w:sz="4" w:space="0" w:color="auto"/>
              <w:left w:val="single" w:sz="12" w:space="0" w:color="auto"/>
              <w:bottom w:val="single" w:sz="4" w:space="0" w:color="auto"/>
              <w:right w:val="double" w:sz="4" w:space="0" w:color="auto"/>
            </w:tcBorders>
            <w:hideMark/>
          </w:tcPr>
          <w:p w:rsidR="00722AF5" w:rsidRDefault="00672166" w:rsidP="00722AF5">
            <w:pPr>
              <w:pStyle w:val="BodyText"/>
              <w:numPr>
                <w:ilvl w:val="0"/>
                <w:numId w:val="0"/>
              </w:numPr>
              <w:tabs>
                <w:tab w:val="left" w:pos="720"/>
              </w:tabs>
              <w:spacing w:before="60" w:after="60"/>
              <w:jc w:val="center"/>
              <w:rPr>
                <w:rFonts w:cs="Arial"/>
              </w:rPr>
            </w:pPr>
            <w:r>
              <w:rPr>
                <w:rFonts w:cs="Arial"/>
              </w:rPr>
              <w:t>0.002</w:t>
            </w:r>
            <w:r w:rsidR="00CC6D60">
              <w:rPr>
                <w:rFonts w:cs="Arial"/>
              </w:rPr>
              <w:t>05</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55</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0.00321</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0.003</w:t>
            </w:r>
            <w:r w:rsidR="00CC6D60">
              <w:rPr>
                <w:rFonts w:cs="Arial"/>
              </w:rPr>
              <w:t>50</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hideMark/>
          </w:tcPr>
          <w:p w:rsidR="00722AF5" w:rsidRDefault="00722AF5">
            <w:pPr>
              <w:pStyle w:val="BodyText"/>
              <w:numPr>
                <w:ilvl w:val="0"/>
                <w:numId w:val="0"/>
              </w:numPr>
              <w:tabs>
                <w:tab w:val="left" w:pos="720"/>
              </w:tabs>
              <w:spacing w:before="60" w:after="60"/>
              <w:jc w:val="center"/>
              <w:rPr>
                <w:rFonts w:cs="Arial"/>
              </w:rPr>
            </w:pPr>
            <w:r>
              <w:rPr>
                <w:rFonts w:cs="Arial"/>
              </w:rPr>
              <w:t>60</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0.00575</w:t>
            </w:r>
          </w:p>
        </w:tc>
        <w:tc>
          <w:tcPr>
            <w:tcW w:w="2127" w:type="dxa"/>
            <w:tcBorders>
              <w:top w:val="single" w:sz="4" w:space="0" w:color="auto"/>
              <w:left w:val="single" w:sz="12" w:space="0" w:color="auto"/>
              <w:bottom w:val="single" w:sz="4" w:space="0" w:color="auto"/>
              <w:right w:val="double" w:sz="4" w:space="0" w:color="auto"/>
            </w:tcBorders>
            <w:hideMark/>
          </w:tcPr>
          <w:p w:rsidR="00722AF5" w:rsidRDefault="00672166" w:rsidP="00722AF5">
            <w:pPr>
              <w:pStyle w:val="BodyText"/>
              <w:numPr>
                <w:ilvl w:val="0"/>
                <w:numId w:val="0"/>
              </w:numPr>
              <w:tabs>
                <w:tab w:val="left" w:pos="720"/>
              </w:tabs>
              <w:spacing w:before="60" w:after="60"/>
              <w:jc w:val="center"/>
              <w:rPr>
                <w:rFonts w:cs="Arial"/>
              </w:rPr>
            </w:pPr>
            <w:r>
              <w:rPr>
                <w:rFonts w:cs="Arial"/>
              </w:rPr>
              <w:t>0.00</w:t>
            </w:r>
            <w:r w:rsidR="00CC6D60">
              <w:rPr>
                <w:rFonts w:cs="Arial"/>
              </w:rPr>
              <w:t>572</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61</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0.00655</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0.006</w:t>
            </w:r>
            <w:r w:rsidR="00CC6D60">
              <w:rPr>
                <w:rFonts w:cs="Arial"/>
              </w:rPr>
              <w:t>27</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62</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0.00745</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w:t>
            </w:r>
            <w:r w:rsidR="00CC6D60">
              <w:rPr>
                <w:rFonts w:cs="Arial"/>
              </w:rPr>
              <w:t>0690</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63</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0.00842</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0.00</w:t>
            </w:r>
            <w:r w:rsidR="00CC6D60">
              <w:rPr>
                <w:rFonts w:cs="Arial"/>
              </w:rPr>
              <w:t>764</w:t>
            </w:r>
          </w:p>
        </w:tc>
      </w:tr>
      <w:tr w:rsidR="00722AF5" w:rsidTr="00722AF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64</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rsidP="00722AF5">
            <w:pPr>
              <w:pStyle w:val="BodyText"/>
              <w:numPr>
                <w:ilvl w:val="0"/>
                <w:numId w:val="0"/>
              </w:numPr>
              <w:tabs>
                <w:tab w:val="left" w:pos="720"/>
              </w:tabs>
              <w:spacing w:before="60" w:after="60"/>
              <w:jc w:val="center"/>
              <w:rPr>
                <w:rFonts w:cs="Arial"/>
              </w:rPr>
            </w:pPr>
            <w:r>
              <w:rPr>
                <w:rFonts w:cs="Arial"/>
              </w:rPr>
              <w:t>0.00952</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0.00</w:t>
            </w:r>
            <w:r w:rsidR="00CC6D60">
              <w:rPr>
                <w:rFonts w:cs="Arial"/>
              </w:rPr>
              <w:t>848</w:t>
            </w:r>
          </w:p>
        </w:tc>
      </w:tr>
      <w:tr w:rsidR="00722AF5" w:rsidTr="00B175B8">
        <w:trPr>
          <w:jc w:val="center"/>
        </w:trPr>
        <w:tc>
          <w:tcPr>
            <w:tcW w:w="817" w:type="dxa"/>
            <w:tcBorders>
              <w:top w:val="single" w:sz="4" w:space="0" w:color="auto"/>
              <w:left w:val="double" w:sz="4" w:space="0" w:color="auto"/>
              <w:bottom w:val="single" w:sz="4" w:space="0" w:color="auto"/>
              <w:right w:val="single" w:sz="4" w:space="0" w:color="auto"/>
            </w:tcBorders>
            <w:hideMark/>
          </w:tcPr>
          <w:p w:rsidR="00722AF5" w:rsidRDefault="00722AF5">
            <w:pPr>
              <w:pStyle w:val="BodyText"/>
              <w:numPr>
                <w:ilvl w:val="0"/>
                <w:numId w:val="0"/>
              </w:numPr>
              <w:tabs>
                <w:tab w:val="left" w:pos="720"/>
              </w:tabs>
              <w:spacing w:before="60" w:after="60"/>
              <w:jc w:val="center"/>
              <w:rPr>
                <w:rFonts w:cs="Arial"/>
              </w:rPr>
            </w:pPr>
            <w:r>
              <w:rPr>
                <w:rFonts w:cs="Arial"/>
              </w:rPr>
              <w:t>65</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0.01076</w:t>
            </w:r>
          </w:p>
        </w:tc>
        <w:tc>
          <w:tcPr>
            <w:tcW w:w="2127" w:type="dxa"/>
            <w:tcBorders>
              <w:top w:val="single" w:sz="4" w:space="0" w:color="auto"/>
              <w:left w:val="single" w:sz="12" w:space="0" w:color="auto"/>
              <w:bottom w:val="single" w:sz="4" w:space="0" w:color="auto"/>
              <w:right w:val="double" w:sz="4" w:space="0" w:color="auto"/>
            </w:tcBorders>
            <w:hideMark/>
          </w:tcPr>
          <w:p w:rsidR="00722AF5" w:rsidRDefault="00672166" w:rsidP="00722AF5">
            <w:pPr>
              <w:pStyle w:val="BodyText"/>
              <w:numPr>
                <w:ilvl w:val="0"/>
                <w:numId w:val="0"/>
              </w:numPr>
              <w:tabs>
                <w:tab w:val="left" w:pos="720"/>
              </w:tabs>
              <w:spacing w:before="60" w:after="60"/>
              <w:jc w:val="center"/>
              <w:rPr>
                <w:rFonts w:cs="Arial"/>
              </w:rPr>
            </w:pPr>
            <w:r>
              <w:rPr>
                <w:rFonts w:cs="Arial"/>
              </w:rPr>
              <w:t>0.0</w:t>
            </w:r>
            <w:r w:rsidR="00CC6D60">
              <w:rPr>
                <w:rFonts w:cs="Arial"/>
              </w:rPr>
              <w:t>0943</w:t>
            </w:r>
          </w:p>
        </w:tc>
      </w:tr>
      <w:tr w:rsidR="00722AF5" w:rsidTr="00946CD1">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66</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0.01213</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0.01</w:t>
            </w:r>
            <w:r w:rsidR="00CC6D60">
              <w:rPr>
                <w:rFonts w:cs="Arial"/>
              </w:rPr>
              <w:t>052</w:t>
            </w:r>
          </w:p>
        </w:tc>
      </w:tr>
      <w:tr w:rsidR="00722AF5" w:rsidTr="00946CD1">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67</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0.01368</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0.01</w:t>
            </w:r>
            <w:r w:rsidR="00CC6D60">
              <w:rPr>
                <w:rFonts w:cs="Arial"/>
              </w:rPr>
              <w:t>177</w:t>
            </w:r>
          </w:p>
        </w:tc>
      </w:tr>
      <w:tr w:rsidR="00722AF5" w:rsidTr="00612265">
        <w:trPr>
          <w:jc w:val="center"/>
        </w:trPr>
        <w:tc>
          <w:tcPr>
            <w:tcW w:w="817" w:type="dxa"/>
            <w:tcBorders>
              <w:top w:val="single" w:sz="4" w:space="0" w:color="auto"/>
              <w:left w:val="double" w:sz="4" w:space="0" w:color="auto"/>
              <w:bottom w:val="sing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68</w:t>
            </w:r>
          </w:p>
        </w:tc>
        <w:tc>
          <w:tcPr>
            <w:tcW w:w="2126" w:type="dxa"/>
            <w:tcBorders>
              <w:top w:val="single" w:sz="4" w:space="0" w:color="auto"/>
              <w:left w:val="single" w:sz="4" w:space="0" w:color="auto"/>
              <w:bottom w:val="sing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0.01523</w:t>
            </w:r>
          </w:p>
        </w:tc>
        <w:tc>
          <w:tcPr>
            <w:tcW w:w="2127" w:type="dxa"/>
            <w:tcBorders>
              <w:top w:val="single" w:sz="4" w:space="0" w:color="auto"/>
              <w:left w:val="single" w:sz="12" w:space="0" w:color="auto"/>
              <w:bottom w:val="sing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0.01</w:t>
            </w:r>
            <w:r w:rsidR="00CC6D60">
              <w:rPr>
                <w:rFonts w:cs="Arial"/>
              </w:rPr>
              <w:t>299</w:t>
            </w:r>
          </w:p>
        </w:tc>
      </w:tr>
      <w:tr w:rsidR="00722AF5" w:rsidTr="00612265">
        <w:trPr>
          <w:jc w:val="center"/>
        </w:trPr>
        <w:tc>
          <w:tcPr>
            <w:tcW w:w="817" w:type="dxa"/>
            <w:tcBorders>
              <w:top w:val="single" w:sz="4" w:space="0" w:color="auto"/>
              <w:left w:val="double" w:sz="4" w:space="0" w:color="auto"/>
              <w:bottom w:val="double" w:sz="4" w:space="0" w:color="auto"/>
              <w:right w:val="single" w:sz="4" w:space="0" w:color="auto"/>
            </w:tcBorders>
          </w:tcPr>
          <w:p w:rsidR="00722AF5" w:rsidRDefault="00722AF5">
            <w:pPr>
              <w:pStyle w:val="BodyText"/>
              <w:numPr>
                <w:ilvl w:val="0"/>
                <w:numId w:val="0"/>
              </w:numPr>
              <w:tabs>
                <w:tab w:val="left" w:pos="720"/>
              </w:tabs>
              <w:spacing w:before="60" w:after="60"/>
              <w:jc w:val="center"/>
              <w:rPr>
                <w:rFonts w:cs="Arial"/>
              </w:rPr>
            </w:pPr>
            <w:r>
              <w:rPr>
                <w:rFonts w:cs="Arial"/>
              </w:rPr>
              <w:t>69</w:t>
            </w:r>
          </w:p>
        </w:tc>
        <w:tc>
          <w:tcPr>
            <w:tcW w:w="2126" w:type="dxa"/>
            <w:tcBorders>
              <w:top w:val="single" w:sz="4" w:space="0" w:color="auto"/>
              <w:left w:val="single" w:sz="4" w:space="0" w:color="auto"/>
              <w:bottom w:val="double" w:sz="4" w:space="0" w:color="auto"/>
              <w:right w:val="single" w:sz="12" w:space="0" w:color="auto"/>
            </w:tcBorders>
          </w:tcPr>
          <w:p w:rsidR="00722AF5" w:rsidRDefault="00CC6D60">
            <w:pPr>
              <w:pStyle w:val="BodyText"/>
              <w:numPr>
                <w:ilvl w:val="0"/>
                <w:numId w:val="0"/>
              </w:numPr>
              <w:tabs>
                <w:tab w:val="left" w:pos="720"/>
              </w:tabs>
              <w:spacing w:before="60" w:after="60"/>
              <w:jc w:val="center"/>
              <w:rPr>
                <w:rFonts w:cs="Arial"/>
              </w:rPr>
            </w:pPr>
            <w:r>
              <w:rPr>
                <w:rFonts w:cs="Arial"/>
              </w:rPr>
              <w:t>0.01691</w:t>
            </w:r>
          </w:p>
        </w:tc>
        <w:tc>
          <w:tcPr>
            <w:tcW w:w="2127" w:type="dxa"/>
            <w:tcBorders>
              <w:top w:val="single" w:sz="4" w:space="0" w:color="auto"/>
              <w:left w:val="single" w:sz="12" w:space="0" w:color="auto"/>
              <w:bottom w:val="double" w:sz="4" w:space="0" w:color="auto"/>
              <w:right w:val="double" w:sz="4" w:space="0" w:color="auto"/>
            </w:tcBorders>
          </w:tcPr>
          <w:p w:rsidR="00722AF5" w:rsidRDefault="00672166" w:rsidP="00722AF5">
            <w:pPr>
              <w:pStyle w:val="BodyText"/>
              <w:numPr>
                <w:ilvl w:val="0"/>
                <w:numId w:val="0"/>
              </w:numPr>
              <w:tabs>
                <w:tab w:val="left" w:pos="720"/>
              </w:tabs>
              <w:spacing w:before="60" w:after="60"/>
              <w:jc w:val="center"/>
              <w:rPr>
                <w:rFonts w:cs="Arial"/>
              </w:rPr>
            </w:pPr>
            <w:r>
              <w:rPr>
                <w:rFonts w:cs="Arial"/>
              </w:rPr>
              <w:t>0.</w:t>
            </w:r>
            <w:r w:rsidR="00D278D5">
              <w:rPr>
                <w:rFonts w:cs="Arial"/>
              </w:rPr>
              <w:t>0</w:t>
            </w:r>
            <w:r>
              <w:rPr>
                <w:rFonts w:cs="Arial"/>
              </w:rPr>
              <w:t>1</w:t>
            </w:r>
            <w:r w:rsidR="00CC6D60">
              <w:rPr>
                <w:rFonts w:cs="Arial"/>
              </w:rPr>
              <w:t>437</w:t>
            </w:r>
          </w:p>
        </w:tc>
      </w:tr>
    </w:tbl>
    <w:p w:rsidR="00030F42" w:rsidRDefault="00030F42" w:rsidP="00030F42">
      <w:pPr>
        <w:keepNext/>
        <w:tabs>
          <w:tab w:val="left" w:pos="-1440"/>
          <w:tab w:val="left" w:pos="-703"/>
          <w:tab w:val="left" w:pos="0"/>
          <w:tab w:val="left" w:pos="941"/>
          <w:tab w:val="left" w:pos="1440"/>
        </w:tabs>
        <w:suppressAutoHyphens/>
      </w:pPr>
      <w:r>
        <w:rPr>
          <w:rFonts w:cs="Arial"/>
          <w:i/>
        </w:rPr>
        <w:lastRenderedPageBreak/>
        <w:t>Proportion Married</w:t>
      </w:r>
    </w:p>
    <w:p w:rsidR="00030F42" w:rsidRDefault="00030F42" w:rsidP="00030F42">
      <w:pPr>
        <w:keepNext/>
        <w:tabs>
          <w:tab w:val="left" w:pos="-1440"/>
          <w:tab w:val="left" w:pos="-703"/>
          <w:tab w:val="left" w:pos="0"/>
          <w:tab w:val="left" w:pos="941"/>
          <w:tab w:val="left" w:pos="1440"/>
        </w:tabs>
        <w:suppressAutoHyphens/>
        <w:rPr>
          <w:rFonts w:cs="Arial"/>
          <w:i/>
        </w:rPr>
      </w:pPr>
      <w:r>
        <w:rPr>
          <w:rFonts w:cs="Arial"/>
        </w:rPr>
        <w:t>The Table below shows the proportions married assumed.</w:t>
      </w:r>
    </w:p>
    <w:tbl>
      <w:tblPr>
        <w:tblpPr w:leftFromText="180" w:rightFromText="180" w:vertAnchor="text" w:horzAnchor="margin" w:tblpXSpec="center" w:tblpY="199"/>
        <w:tblOverlap w:val="neve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709"/>
        <w:gridCol w:w="1247"/>
        <w:gridCol w:w="1304"/>
      </w:tblGrid>
      <w:tr w:rsidR="00DD2748" w:rsidTr="00DD2748">
        <w:trPr>
          <w:cantSplit/>
          <w:trHeight w:val="400"/>
        </w:trPr>
        <w:tc>
          <w:tcPr>
            <w:tcW w:w="709" w:type="dxa"/>
            <w:tcBorders>
              <w:top w:val="double" w:sz="6" w:space="0" w:color="auto"/>
              <w:left w:val="double" w:sz="6" w:space="0" w:color="auto"/>
              <w:bottom w:val="nil"/>
              <w:right w:val="single" w:sz="6" w:space="0" w:color="auto"/>
            </w:tcBorders>
          </w:tcPr>
          <w:p w:rsidR="00DD2748" w:rsidRDefault="00DD2748" w:rsidP="00DD2748">
            <w:pPr>
              <w:keepNext/>
              <w:tabs>
                <w:tab w:val="left" w:pos="-1440"/>
                <w:tab w:val="left" w:pos="-703"/>
                <w:tab w:val="left" w:pos="0"/>
                <w:tab w:val="left" w:pos="941"/>
                <w:tab w:val="left" w:pos="1440"/>
              </w:tabs>
              <w:suppressAutoHyphens/>
              <w:spacing w:before="54" w:after="54"/>
              <w:rPr>
                <w:rFonts w:cs="Arial"/>
                <w:b/>
              </w:rPr>
            </w:pPr>
          </w:p>
        </w:tc>
        <w:tc>
          <w:tcPr>
            <w:tcW w:w="1247" w:type="dxa"/>
            <w:vMerge w:val="restart"/>
            <w:tcBorders>
              <w:top w:val="double" w:sz="6" w:space="0" w:color="auto"/>
              <w:left w:val="single" w:sz="6" w:space="0" w:color="auto"/>
              <w:bottom w:val="nil"/>
              <w:right w:val="single" w:sz="12" w:space="0" w:color="auto"/>
            </w:tcBorders>
            <w:hideMark/>
          </w:tcPr>
          <w:p w:rsidR="00DD2748" w:rsidRDefault="00DD2748" w:rsidP="00DD2748">
            <w:pPr>
              <w:keepNext/>
              <w:tabs>
                <w:tab w:val="left" w:pos="-1440"/>
                <w:tab w:val="left" w:pos="-703"/>
                <w:tab w:val="left" w:pos="0"/>
                <w:tab w:val="left" w:pos="941"/>
                <w:tab w:val="left" w:pos="1440"/>
              </w:tabs>
              <w:suppressAutoHyphens/>
              <w:spacing w:before="54" w:after="54"/>
              <w:jc w:val="center"/>
              <w:rPr>
                <w:rFonts w:cs="Arial"/>
                <w:b/>
                <w:position w:val="-24"/>
              </w:rPr>
            </w:pPr>
            <w:r>
              <w:rPr>
                <w:rFonts w:cs="Arial"/>
                <w:b/>
                <w:position w:val="-24"/>
              </w:rPr>
              <w:t>Male Proportion Married</w:t>
            </w:r>
          </w:p>
        </w:tc>
        <w:tc>
          <w:tcPr>
            <w:tcW w:w="1304" w:type="dxa"/>
            <w:vMerge w:val="restart"/>
            <w:tcBorders>
              <w:top w:val="double" w:sz="6" w:space="0" w:color="auto"/>
              <w:left w:val="nil"/>
              <w:bottom w:val="single" w:sz="12" w:space="0" w:color="auto"/>
              <w:right w:val="double" w:sz="6" w:space="0" w:color="auto"/>
            </w:tcBorders>
            <w:hideMark/>
          </w:tcPr>
          <w:p w:rsidR="00DD2748" w:rsidRDefault="00DD2748" w:rsidP="00DD2748">
            <w:pPr>
              <w:keepNext/>
              <w:tabs>
                <w:tab w:val="left" w:pos="-1440"/>
                <w:tab w:val="left" w:pos="-703"/>
                <w:tab w:val="left" w:pos="0"/>
                <w:tab w:val="left" w:pos="1026"/>
                <w:tab w:val="left" w:pos="1440"/>
              </w:tabs>
              <w:suppressAutoHyphens/>
              <w:spacing w:before="54" w:after="54"/>
              <w:jc w:val="center"/>
              <w:rPr>
                <w:rFonts w:cs="Arial"/>
                <w:b/>
                <w:position w:val="-24"/>
              </w:rPr>
            </w:pPr>
            <w:r>
              <w:rPr>
                <w:rFonts w:cs="Arial"/>
                <w:b/>
                <w:position w:val="-24"/>
              </w:rPr>
              <w:t>Female</w:t>
            </w:r>
            <w:r>
              <w:rPr>
                <w:rFonts w:cs="Arial"/>
                <w:b/>
                <w:position w:val="-24"/>
              </w:rPr>
              <w:br/>
              <w:t>Proportion Married</w:t>
            </w:r>
          </w:p>
        </w:tc>
      </w:tr>
      <w:tr w:rsidR="00DD2748" w:rsidTr="00DD2748">
        <w:trPr>
          <w:cantSplit/>
          <w:trHeight w:val="593"/>
        </w:trPr>
        <w:tc>
          <w:tcPr>
            <w:tcW w:w="709" w:type="dxa"/>
            <w:tcBorders>
              <w:top w:val="nil"/>
              <w:left w:val="double" w:sz="6" w:space="0" w:color="auto"/>
              <w:bottom w:val="single" w:sz="12" w:space="0" w:color="auto"/>
              <w:right w:val="single" w:sz="6" w:space="0" w:color="auto"/>
            </w:tcBorders>
            <w:hideMark/>
          </w:tcPr>
          <w:p w:rsidR="00DD2748" w:rsidRDefault="00DD2748" w:rsidP="00DD2748">
            <w:pPr>
              <w:keepNext/>
              <w:tabs>
                <w:tab w:val="left" w:pos="-1440"/>
                <w:tab w:val="left" w:pos="-703"/>
                <w:tab w:val="left" w:pos="0"/>
                <w:tab w:val="left" w:pos="941"/>
                <w:tab w:val="left" w:pos="1440"/>
              </w:tabs>
              <w:suppressAutoHyphens/>
              <w:spacing w:before="54" w:after="54"/>
              <w:rPr>
                <w:rFonts w:cs="Arial"/>
                <w:b/>
              </w:rPr>
            </w:pPr>
            <w:r>
              <w:rPr>
                <w:rFonts w:cs="Arial"/>
                <w:b/>
              </w:rPr>
              <w:t>Age</w:t>
            </w:r>
          </w:p>
        </w:tc>
        <w:tc>
          <w:tcPr>
            <w:tcW w:w="1247" w:type="dxa"/>
            <w:vMerge/>
            <w:tcBorders>
              <w:top w:val="double" w:sz="6" w:space="0" w:color="auto"/>
              <w:left w:val="single" w:sz="6" w:space="0" w:color="auto"/>
              <w:bottom w:val="nil"/>
              <w:right w:val="single" w:sz="12" w:space="0" w:color="auto"/>
            </w:tcBorders>
            <w:vAlign w:val="center"/>
            <w:hideMark/>
          </w:tcPr>
          <w:p w:rsidR="00DD2748" w:rsidRDefault="00DD2748" w:rsidP="00DD2748">
            <w:pPr>
              <w:spacing w:before="0" w:after="0" w:line="240" w:lineRule="auto"/>
              <w:jc w:val="left"/>
              <w:rPr>
                <w:rFonts w:cs="Arial"/>
                <w:b/>
                <w:position w:val="-24"/>
              </w:rPr>
            </w:pPr>
          </w:p>
        </w:tc>
        <w:tc>
          <w:tcPr>
            <w:tcW w:w="1304" w:type="dxa"/>
            <w:vMerge/>
            <w:tcBorders>
              <w:top w:val="double" w:sz="6" w:space="0" w:color="auto"/>
              <w:left w:val="nil"/>
              <w:bottom w:val="single" w:sz="12" w:space="0" w:color="auto"/>
              <w:right w:val="double" w:sz="6" w:space="0" w:color="auto"/>
            </w:tcBorders>
            <w:vAlign w:val="center"/>
            <w:hideMark/>
          </w:tcPr>
          <w:p w:rsidR="00DD2748" w:rsidRDefault="00DD2748" w:rsidP="00DD2748">
            <w:pPr>
              <w:spacing w:before="0" w:after="0" w:line="240" w:lineRule="auto"/>
              <w:jc w:val="left"/>
              <w:rPr>
                <w:rFonts w:cs="Arial"/>
                <w:b/>
                <w:position w:val="-24"/>
              </w:rPr>
            </w:pPr>
          </w:p>
        </w:tc>
      </w:tr>
      <w:tr w:rsidR="00DD2748" w:rsidTr="00DD2748">
        <w:trPr>
          <w:cantSplit/>
          <w:trHeight w:hRule="exact" w:val="360"/>
        </w:trPr>
        <w:tc>
          <w:tcPr>
            <w:tcW w:w="709" w:type="dxa"/>
            <w:tcBorders>
              <w:top w:val="nil"/>
              <w:left w:val="double" w:sz="6" w:space="0" w:color="auto"/>
              <w:bottom w:val="sing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40</w:t>
            </w:r>
          </w:p>
        </w:tc>
        <w:tc>
          <w:tcPr>
            <w:tcW w:w="1247" w:type="dxa"/>
            <w:tcBorders>
              <w:top w:val="single" w:sz="12" w:space="0" w:color="auto"/>
              <w:left w:val="single" w:sz="6" w:space="0" w:color="auto"/>
              <w:bottom w:val="sing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nil"/>
              <w:left w:val="single" w:sz="6" w:space="0" w:color="auto"/>
              <w:bottom w:val="sing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0.950</w:t>
            </w:r>
          </w:p>
        </w:tc>
      </w:tr>
      <w:tr w:rsidR="00DD2748" w:rsidTr="00DD2748">
        <w:trPr>
          <w:cantSplit/>
          <w:trHeight w:hRule="exact" w:val="360"/>
        </w:trPr>
        <w:tc>
          <w:tcPr>
            <w:tcW w:w="709" w:type="dxa"/>
            <w:tcBorders>
              <w:top w:val="single" w:sz="6" w:space="0" w:color="auto"/>
              <w:left w:val="double" w:sz="6" w:space="0" w:color="auto"/>
              <w:bottom w:val="sing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50</w:t>
            </w:r>
          </w:p>
        </w:tc>
        <w:tc>
          <w:tcPr>
            <w:tcW w:w="1247" w:type="dxa"/>
            <w:tcBorders>
              <w:top w:val="single" w:sz="6" w:space="0" w:color="auto"/>
              <w:left w:val="single" w:sz="6" w:space="0" w:color="auto"/>
              <w:bottom w:val="sing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single" w:sz="6" w:space="0" w:color="auto"/>
              <w:left w:val="single" w:sz="6" w:space="0" w:color="auto"/>
              <w:bottom w:val="sing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0.950</w:t>
            </w:r>
          </w:p>
        </w:tc>
      </w:tr>
      <w:tr w:rsidR="00DD2748" w:rsidTr="00DD2748">
        <w:trPr>
          <w:cantSplit/>
          <w:trHeight w:hRule="exact" w:val="360"/>
        </w:trPr>
        <w:tc>
          <w:tcPr>
            <w:tcW w:w="709" w:type="dxa"/>
            <w:tcBorders>
              <w:top w:val="single" w:sz="6" w:space="0" w:color="auto"/>
              <w:left w:val="double" w:sz="6" w:space="0" w:color="auto"/>
              <w:bottom w:val="sing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55</w:t>
            </w:r>
          </w:p>
        </w:tc>
        <w:tc>
          <w:tcPr>
            <w:tcW w:w="1247" w:type="dxa"/>
            <w:tcBorders>
              <w:top w:val="single" w:sz="6" w:space="0" w:color="auto"/>
              <w:left w:val="single" w:sz="6" w:space="0" w:color="auto"/>
              <w:bottom w:val="sing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single" w:sz="6" w:space="0" w:color="auto"/>
              <w:left w:val="single" w:sz="6" w:space="0" w:color="auto"/>
              <w:bottom w:val="sing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0.950</w:t>
            </w:r>
          </w:p>
        </w:tc>
      </w:tr>
      <w:tr w:rsidR="00DD2748" w:rsidTr="00DD2748">
        <w:trPr>
          <w:cantSplit/>
          <w:trHeight w:hRule="exact" w:val="360"/>
        </w:trPr>
        <w:tc>
          <w:tcPr>
            <w:tcW w:w="709" w:type="dxa"/>
            <w:tcBorders>
              <w:top w:val="single" w:sz="6" w:space="0" w:color="auto"/>
              <w:left w:val="double" w:sz="6" w:space="0" w:color="auto"/>
              <w:bottom w:val="sing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60</w:t>
            </w:r>
          </w:p>
        </w:tc>
        <w:tc>
          <w:tcPr>
            <w:tcW w:w="1247" w:type="dxa"/>
            <w:tcBorders>
              <w:top w:val="single" w:sz="6" w:space="0" w:color="auto"/>
              <w:left w:val="single" w:sz="6" w:space="0" w:color="auto"/>
              <w:bottom w:val="sing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single" w:sz="6" w:space="0" w:color="auto"/>
              <w:left w:val="single" w:sz="6" w:space="0" w:color="auto"/>
              <w:bottom w:val="sing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0.950</w:t>
            </w:r>
          </w:p>
        </w:tc>
      </w:tr>
      <w:tr w:rsidR="00DD2748" w:rsidTr="00DD2748">
        <w:trPr>
          <w:cantSplit/>
          <w:trHeight w:hRule="exact" w:val="360"/>
        </w:trPr>
        <w:tc>
          <w:tcPr>
            <w:tcW w:w="709" w:type="dxa"/>
            <w:tcBorders>
              <w:top w:val="single" w:sz="6" w:space="0" w:color="auto"/>
              <w:left w:val="double" w:sz="6" w:space="0" w:color="auto"/>
              <w:bottom w:val="sing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65</w:t>
            </w:r>
          </w:p>
        </w:tc>
        <w:tc>
          <w:tcPr>
            <w:tcW w:w="1247" w:type="dxa"/>
            <w:tcBorders>
              <w:top w:val="single" w:sz="6" w:space="0" w:color="auto"/>
              <w:left w:val="single" w:sz="6" w:space="0" w:color="auto"/>
              <w:bottom w:val="sing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single" w:sz="6" w:space="0" w:color="auto"/>
              <w:left w:val="single" w:sz="6" w:space="0" w:color="auto"/>
              <w:bottom w:val="sing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0.950</w:t>
            </w:r>
          </w:p>
        </w:tc>
      </w:tr>
      <w:tr w:rsidR="00DD2748" w:rsidTr="00DD2748">
        <w:trPr>
          <w:cantSplit/>
          <w:trHeight w:hRule="exact" w:val="482"/>
        </w:trPr>
        <w:tc>
          <w:tcPr>
            <w:tcW w:w="709" w:type="dxa"/>
            <w:tcBorders>
              <w:top w:val="single" w:sz="6" w:space="0" w:color="auto"/>
              <w:left w:val="double" w:sz="6" w:space="0" w:color="auto"/>
              <w:bottom w:val="double" w:sz="6" w:space="0" w:color="auto"/>
              <w:right w:val="single" w:sz="6" w:space="0" w:color="auto"/>
            </w:tcBorders>
            <w:hideMark/>
          </w:tcPr>
          <w:p w:rsidR="00DD2748" w:rsidRDefault="00DD2748" w:rsidP="00DD2748">
            <w:pPr>
              <w:keepNext/>
              <w:tabs>
                <w:tab w:val="left" w:pos="-1440"/>
                <w:tab w:val="left" w:pos="-703"/>
                <w:tab w:val="right" w:pos="317"/>
                <w:tab w:val="left" w:pos="941"/>
                <w:tab w:val="left" w:pos="1440"/>
              </w:tabs>
              <w:suppressAutoHyphens/>
              <w:spacing w:before="54" w:after="56"/>
              <w:ind w:right="77"/>
              <w:rPr>
                <w:rFonts w:cs="Arial"/>
              </w:rPr>
            </w:pPr>
            <w:r>
              <w:rPr>
                <w:rFonts w:cs="Arial"/>
              </w:rPr>
              <w:tab/>
              <w:t>69</w:t>
            </w:r>
          </w:p>
        </w:tc>
        <w:tc>
          <w:tcPr>
            <w:tcW w:w="1247" w:type="dxa"/>
            <w:tcBorders>
              <w:top w:val="single" w:sz="6" w:space="0" w:color="auto"/>
              <w:left w:val="single" w:sz="6" w:space="0" w:color="auto"/>
              <w:bottom w:val="double" w:sz="6" w:space="0" w:color="auto"/>
              <w:right w:val="single" w:sz="12" w:space="0" w:color="auto"/>
            </w:tcBorders>
            <w:hideMark/>
          </w:tcPr>
          <w:p w:rsidR="00DD2748" w:rsidRDefault="00DD2748" w:rsidP="00DD2748">
            <w:pPr>
              <w:keepNext/>
              <w:tabs>
                <w:tab w:val="left" w:pos="-1440"/>
                <w:tab w:val="left" w:pos="-703"/>
                <w:tab w:val="right" w:pos="983"/>
                <w:tab w:val="left" w:pos="1440"/>
              </w:tabs>
              <w:suppressAutoHyphens/>
              <w:spacing w:before="54" w:after="56"/>
              <w:jc w:val="center"/>
              <w:rPr>
                <w:rFonts w:cs="Arial"/>
              </w:rPr>
            </w:pPr>
            <w:r>
              <w:rPr>
                <w:rFonts w:cs="Arial"/>
              </w:rPr>
              <w:t>0.950</w:t>
            </w:r>
          </w:p>
        </w:tc>
        <w:tc>
          <w:tcPr>
            <w:tcW w:w="1304" w:type="dxa"/>
            <w:tcBorders>
              <w:top w:val="single" w:sz="6" w:space="0" w:color="auto"/>
              <w:left w:val="single" w:sz="6" w:space="0" w:color="auto"/>
              <w:bottom w:val="double" w:sz="6" w:space="0" w:color="auto"/>
              <w:right w:val="double" w:sz="6" w:space="0" w:color="auto"/>
            </w:tcBorders>
            <w:hideMark/>
          </w:tcPr>
          <w:p w:rsidR="00DD2748" w:rsidRDefault="00DD2748" w:rsidP="00DD2748">
            <w:pPr>
              <w:keepNext/>
              <w:tabs>
                <w:tab w:val="left" w:pos="-1440"/>
                <w:tab w:val="left" w:pos="-703"/>
                <w:tab w:val="right" w:pos="743"/>
                <w:tab w:val="left" w:pos="1440"/>
              </w:tabs>
              <w:suppressAutoHyphens/>
              <w:spacing w:before="54" w:after="56"/>
              <w:jc w:val="center"/>
              <w:rPr>
                <w:rFonts w:cs="Arial"/>
              </w:rPr>
            </w:pPr>
            <w:r>
              <w:rPr>
                <w:rFonts w:cs="Arial"/>
              </w:rPr>
              <w:t>0.901</w:t>
            </w:r>
          </w:p>
        </w:tc>
      </w:tr>
    </w:tbl>
    <w:p w:rsidR="00DD2748" w:rsidRDefault="00030F42" w:rsidP="00030F42">
      <w:pPr>
        <w:tabs>
          <w:tab w:val="left" w:pos="-1440"/>
          <w:tab w:val="left" w:pos="-703"/>
          <w:tab w:val="left" w:pos="0"/>
          <w:tab w:val="left" w:pos="941"/>
          <w:tab w:val="left" w:pos="1440"/>
        </w:tabs>
        <w:suppressAutoHyphens/>
        <w:rPr>
          <w:rFonts w:cs="Arial"/>
        </w:rPr>
      </w:pPr>
      <w:r>
        <w:rPr>
          <w:rFonts w:cs="Arial"/>
        </w:rPr>
        <w:br w:type="textWrapping" w:clear="all"/>
      </w:r>
    </w:p>
    <w:p w:rsidR="00030F42" w:rsidRDefault="00030F42" w:rsidP="00030F42">
      <w:pPr>
        <w:pStyle w:val="BodyText"/>
        <w:keepNext/>
        <w:numPr>
          <w:ilvl w:val="0"/>
          <w:numId w:val="0"/>
        </w:numPr>
        <w:tabs>
          <w:tab w:val="left" w:pos="720"/>
        </w:tabs>
      </w:pPr>
      <w:r>
        <w:rPr>
          <w:rFonts w:cs="Arial"/>
          <w:i/>
        </w:rPr>
        <w:t>New entrant assumptions</w:t>
      </w:r>
    </w:p>
    <w:p w:rsidR="00030F42" w:rsidRDefault="00030F42" w:rsidP="00030F42">
      <w:pPr>
        <w:keepNext/>
        <w:tabs>
          <w:tab w:val="left" w:pos="-1440"/>
          <w:tab w:val="left" w:pos="-703"/>
          <w:tab w:val="left" w:pos="0"/>
          <w:tab w:val="left" w:pos="941"/>
          <w:tab w:val="left" w:pos="1440"/>
        </w:tabs>
        <w:suppressAutoHyphens/>
        <w:rPr>
          <w:rFonts w:cs="Arial"/>
        </w:rPr>
      </w:pPr>
      <w:r>
        <w:rPr>
          <w:rFonts w:cs="Arial"/>
        </w:rPr>
        <w:t>The following table below shows assumed age distribution per 1</w:t>
      </w:r>
      <w:r w:rsidR="00BC3E63">
        <w:rPr>
          <w:rFonts w:cs="Arial"/>
        </w:rPr>
        <w:t>0</w:t>
      </w:r>
      <w:r>
        <w:rPr>
          <w:rFonts w:cs="Arial"/>
        </w:rPr>
        <w:t>,000 new entrants.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35"/>
        <w:gridCol w:w="1701"/>
      </w:tblGrid>
      <w:tr w:rsidR="00435F71" w:rsidTr="00FE3179">
        <w:trPr>
          <w:trHeight w:val="497"/>
          <w:tblHeader/>
          <w:jc w:val="center"/>
        </w:trPr>
        <w:tc>
          <w:tcPr>
            <w:tcW w:w="1835" w:type="dxa"/>
            <w:tcBorders>
              <w:top w:val="double" w:sz="6" w:space="0" w:color="auto"/>
              <w:left w:val="double" w:sz="6" w:space="0" w:color="auto"/>
              <w:bottom w:val="double" w:sz="4" w:space="0" w:color="auto"/>
              <w:right w:val="single" w:sz="4" w:space="0" w:color="auto"/>
            </w:tcBorders>
            <w:hideMark/>
          </w:tcPr>
          <w:p w:rsidR="00435F71" w:rsidRPr="00FE3179" w:rsidRDefault="00435F71" w:rsidP="00FE3179">
            <w:pPr>
              <w:jc w:val="center"/>
              <w:rPr>
                <w:rFonts w:cs="Arial"/>
                <w:b/>
              </w:rPr>
            </w:pPr>
            <w:r w:rsidRPr="00FE3179">
              <w:rPr>
                <w:rFonts w:cs="Arial"/>
                <w:b/>
              </w:rPr>
              <w:t>Age at entry</w:t>
            </w:r>
          </w:p>
        </w:tc>
        <w:tc>
          <w:tcPr>
            <w:tcW w:w="1701" w:type="dxa"/>
            <w:tcBorders>
              <w:top w:val="double" w:sz="6" w:space="0" w:color="auto"/>
              <w:left w:val="single" w:sz="4" w:space="0" w:color="auto"/>
              <w:bottom w:val="double" w:sz="4" w:space="0" w:color="auto"/>
              <w:right w:val="double" w:sz="6" w:space="0" w:color="auto"/>
            </w:tcBorders>
            <w:hideMark/>
          </w:tcPr>
          <w:p w:rsidR="00435F71" w:rsidRPr="00FE3179" w:rsidRDefault="00435F71" w:rsidP="00FE3179">
            <w:pPr>
              <w:jc w:val="center"/>
              <w:rPr>
                <w:rFonts w:cs="Arial"/>
                <w:b/>
              </w:rPr>
            </w:pPr>
            <w:r w:rsidRPr="00FE3179">
              <w:rPr>
                <w:rFonts w:cs="Arial"/>
                <w:b/>
              </w:rPr>
              <w:t>New entrants (per 1</w:t>
            </w:r>
            <w:r w:rsidR="00BC3E63" w:rsidRPr="00FE3179">
              <w:rPr>
                <w:rFonts w:cs="Arial"/>
                <w:b/>
              </w:rPr>
              <w:t>0</w:t>
            </w:r>
            <w:r w:rsidRPr="00FE3179">
              <w:rPr>
                <w:rFonts w:cs="Arial"/>
                <w:b/>
              </w:rPr>
              <w:t>,000)</w:t>
            </w:r>
          </w:p>
        </w:tc>
      </w:tr>
      <w:tr w:rsidR="00435F71" w:rsidTr="00FE3179">
        <w:trPr>
          <w:jc w:val="center"/>
        </w:trPr>
        <w:tc>
          <w:tcPr>
            <w:tcW w:w="1835" w:type="dxa"/>
            <w:tcBorders>
              <w:top w:val="doub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35</w:t>
            </w:r>
          </w:p>
        </w:tc>
        <w:tc>
          <w:tcPr>
            <w:tcW w:w="1701" w:type="dxa"/>
            <w:tcBorders>
              <w:top w:val="doub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1</w:t>
            </w:r>
            <w:r w:rsidR="00BC3E63" w:rsidRPr="00FE3179">
              <w:rPr>
                <w:rFonts w:cs="Arial"/>
                <w:sz w:val="20"/>
              </w:rPr>
              <w:t>2</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36</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2</w:t>
            </w:r>
            <w:r w:rsidR="00BC3E63" w:rsidRPr="00FE3179">
              <w:rPr>
                <w:rFonts w:cs="Arial"/>
                <w:sz w:val="20"/>
              </w:rPr>
              <w:t>4</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37</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10</w:t>
            </w:r>
            <w:r w:rsidR="00BC3E63" w:rsidRPr="00FE3179">
              <w:rPr>
                <w:rFonts w:cs="Arial"/>
                <w:sz w:val="20"/>
              </w:rPr>
              <w:t>4</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38</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11</w:t>
            </w:r>
            <w:r w:rsidR="00BC3E63" w:rsidRPr="00FE3179">
              <w:rPr>
                <w:rFonts w:cs="Arial"/>
                <w:sz w:val="20"/>
              </w:rPr>
              <w:t>2</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39</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BC3E63" w:rsidP="00FE3179">
            <w:pPr>
              <w:pStyle w:val="TableTextLeft"/>
              <w:ind w:right="571"/>
              <w:jc w:val="right"/>
              <w:rPr>
                <w:rFonts w:cs="Arial"/>
                <w:sz w:val="20"/>
              </w:rPr>
            </w:pPr>
            <w:r w:rsidRPr="00FE3179">
              <w:rPr>
                <w:rFonts w:cs="Arial"/>
                <w:sz w:val="20"/>
              </w:rPr>
              <w:t>137</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40</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BC3E63" w:rsidP="00FE3179">
            <w:pPr>
              <w:pStyle w:val="TableTextLeft"/>
              <w:ind w:right="571"/>
              <w:jc w:val="right"/>
              <w:rPr>
                <w:rFonts w:cs="Arial"/>
                <w:sz w:val="20"/>
              </w:rPr>
            </w:pPr>
            <w:r w:rsidRPr="00FE3179">
              <w:rPr>
                <w:rFonts w:cs="Arial"/>
                <w:sz w:val="20"/>
              </w:rPr>
              <w:t>175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41</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22</w:t>
            </w:r>
            <w:r w:rsidR="00BC3E63" w:rsidRPr="00FE3179">
              <w:rPr>
                <w:rFonts w:cs="Arial"/>
                <w:sz w:val="20"/>
              </w:rPr>
              <w:t>3</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42</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BC3E63" w:rsidP="00FE3179">
            <w:pPr>
              <w:pStyle w:val="TableTextLeft"/>
              <w:ind w:right="571"/>
              <w:jc w:val="right"/>
              <w:rPr>
                <w:rFonts w:cs="Arial"/>
                <w:sz w:val="20"/>
              </w:rPr>
            </w:pPr>
            <w:r w:rsidRPr="00FE3179">
              <w:rPr>
                <w:rFonts w:cs="Arial"/>
                <w:sz w:val="20"/>
              </w:rPr>
              <w:t>277</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43</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33</w:t>
            </w:r>
            <w:r w:rsidR="00BC3E63" w:rsidRPr="00FE3179">
              <w:rPr>
                <w:rFonts w:cs="Arial"/>
                <w:sz w:val="20"/>
              </w:rPr>
              <w:t>4</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44</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39</w:t>
            </w:r>
            <w:r w:rsidR="00BC3E63" w:rsidRPr="00FE3179">
              <w:rPr>
                <w:rFonts w:cs="Arial"/>
                <w:sz w:val="20"/>
              </w:rPr>
              <w:t>1</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45</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BC3E63" w:rsidP="00FE3179">
            <w:pPr>
              <w:pStyle w:val="TableTextLeft"/>
              <w:ind w:right="571"/>
              <w:jc w:val="right"/>
              <w:rPr>
                <w:rFonts w:cs="Arial"/>
                <w:sz w:val="20"/>
              </w:rPr>
            </w:pPr>
            <w:r w:rsidRPr="00FE3179">
              <w:rPr>
                <w:rFonts w:cs="Arial"/>
                <w:sz w:val="20"/>
              </w:rPr>
              <w:t>445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46</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49</w:t>
            </w:r>
            <w:r w:rsidR="00D0144F" w:rsidRPr="00FE3179">
              <w:rPr>
                <w:rFonts w:cs="Arial"/>
                <w:sz w:val="20"/>
              </w:rPr>
              <w:t>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47</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537</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48</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57</w:t>
            </w:r>
            <w:r w:rsidR="00D0144F" w:rsidRPr="00FE3179">
              <w:rPr>
                <w:rFonts w:cs="Arial"/>
                <w:sz w:val="20"/>
              </w:rPr>
              <w:t>2</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49</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597</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50</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61</w:t>
            </w:r>
            <w:r w:rsidR="00D0144F" w:rsidRPr="00FE3179">
              <w:rPr>
                <w:rFonts w:cs="Arial"/>
                <w:sz w:val="20"/>
              </w:rPr>
              <w:t>1</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51</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61</w:t>
            </w:r>
            <w:r w:rsidR="00D0144F" w:rsidRPr="00FE3179">
              <w:rPr>
                <w:rFonts w:cs="Arial"/>
                <w:sz w:val="20"/>
              </w:rPr>
              <w:t>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52</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607</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lastRenderedPageBreak/>
              <w:t>53</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589</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54</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w:t>
            </w:r>
            <w:r w:rsidR="002744DF" w:rsidRPr="00FE3179">
              <w:rPr>
                <w:rFonts w:cs="Arial"/>
                <w:sz w:val="20"/>
              </w:rPr>
              <w:t>5</w:t>
            </w:r>
            <w:r w:rsidRPr="00FE3179">
              <w:rPr>
                <w:rFonts w:cs="Arial"/>
                <w:sz w:val="20"/>
              </w:rPr>
              <w:t>9</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55</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52</w:t>
            </w:r>
            <w:r w:rsidR="00D0144F" w:rsidRPr="00FE3179">
              <w:rPr>
                <w:rFonts w:cs="Arial"/>
                <w:sz w:val="20"/>
              </w:rPr>
              <w:t>0</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56</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47</w:t>
            </w:r>
            <w:r w:rsidR="00D0144F" w:rsidRPr="00FE3179">
              <w:rPr>
                <w:rFonts w:cs="Arial"/>
                <w:sz w:val="20"/>
              </w:rPr>
              <w:t>1</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57</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415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58</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35</w:t>
            </w:r>
            <w:r w:rsidR="00D0144F" w:rsidRPr="00FE3179">
              <w:rPr>
                <w:rFonts w:cs="Arial"/>
                <w:sz w:val="20"/>
              </w:rPr>
              <w:t>4</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59</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288</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60</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22</w:t>
            </w:r>
            <w:r w:rsidR="00D0144F" w:rsidRPr="00FE3179">
              <w:rPr>
                <w:rFonts w:cs="Arial"/>
                <w:sz w:val="20"/>
              </w:rPr>
              <w:t>2</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61</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156</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62</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95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63</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435F71" w:rsidP="00FE3179">
            <w:pPr>
              <w:pStyle w:val="TableTextLeft"/>
              <w:ind w:right="571"/>
              <w:jc w:val="right"/>
              <w:rPr>
                <w:rFonts w:cs="Arial"/>
                <w:sz w:val="20"/>
              </w:rPr>
            </w:pPr>
            <w:r w:rsidRPr="00FE3179">
              <w:rPr>
                <w:rFonts w:cs="Arial"/>
                <w:sz w:val="20"/>
              </w:rPr>
              <w:t>4</w:t>
            </w:r>
            <w:r w:rsidR="00D0144F" w:rsidRPr="00FE3179">
              <w:rPr>
                <w:rFonts w:cs="Arial"/>
                <w:sz w:val="20"/>
              </w:rPr>
              <w:t>2</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64</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hideMark/>
          </w:tcPr>
          <w:p w:rsidR="00435F71" w:rsidRPr="00FE3179" w:rsidRDefault="00435F71" w:rsidP="00FE3179">
            <w:pPr>
              <w:pStyle w:val="TableTextLeft"/>
              <w:jc w:val="center"/>
              <w:rPr>
                <w:rFonts w:cs="Arial"/>
                <w:sz w:val="20"/>
              </w:rPr>
            </w:pPr>
            <w:r w:rsidRPr="00FE3179">
              <w:rPr>
                <w:rFonts w:cs="Arial"/>
                <w:sz w:val="20"/>
              </w:rPr>
              <w:t>65</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5</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66</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3</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67</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3</w:t>
            </w:r>
          </w:p>
        </w:tc>
      </w:tr>
      <w:tr w:rsidR="00435F71" w:rsidTr="00FE3179">
        <w:trPr>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68</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3</w:t>
            </w:r>
          </w:p>
        </w:tc>
      </w:tr>
      <w:tr w:rsidR="00435F71" w:rsidTr="00FE3179">
        <w:trPr>
          <w:trHeight w:val="285"/>
          <w:jc w:val="center"/>
        </w:trPr>
        <w:tc>
          <w:tcPr>
            <w:tcW w:w="1835" w:type="dxa"/>
            <w:tcBorders>
              <w:top w:val="single" w:sz="4" w:space="0" w:color="auto"/>
              <w:left w:val="double" w:sz="6" w:space="0" w:color="auto"/>
              <w:bottom w:val="single" w:sz="4" w:space="0" w:color="auto"/>
              <w:right w:val="single" w:sz="4" w:space="0" w:color="auto"/>
            </w:tcBorders>
          </w:tcPr>
          <w:p w:rsidR="00435F71" w:rsidRPr="00FE3179" w:rsidRDefault="00435F71" w:rsidP="00FE3179">
            <w:pPr>
              <w:pStyle w:val="TableTextLeft"/>
              <w:jc w:val="center"/>
              <w:rPr>
                <w:rFonts w:cs="Arial"/>
                <w:sz w:val="20"/>
              </w:rPr>
            </w:pPr>
            <w:r w:rsidRPr="00FE3179">
              <w:rPr>
                <w:rFonts w:cs="Arial"/>
                <w:sz w:val="20"/>
              </w:rPr>
              <w:t>69</w:t>
            </w:r>
          </w:p>
        </w:tc>
        <w:tc>
          <w:tcPr>
            <w:tcW w:w="1701" w:type="dxa"/>
            <w:tcBorders>
              <w:top w:val="single" w:sz="4" w:space="0" w:color="auto"/>
              <w:left w:val="single" w:sz="4" w:space="0" w:color="auto"/>
              <w:bottom w:val="single" w:sz="4" w:space="0" w:color="auto"/>
              <w:right w:val="double" w:sz="6" w:space="0" w:color="auto"/>
            </w:tcBorders>
            <w:vAlign w:val="bottom"/>
          </w:tcPr>
          <w:p w:rsidR="00435F71" w:rsidRPr="00FE3179" w:rsidRDefault="00D0144F" w:rsidP="00FE3179">
            <w:pPr>
              <w:pStyle w:val="TableTextLeft"/>
              <w:ind w:right="571"/>
              <w:jc w:val="right"/>
              <w:rPr>
                <w:rFonts w:cs="Arial"/>
                <w:sz w:val="20"/>
              </w:rPr>
            </w:pPr>
            <w:r w:rsidRPr="00FE3179">
              <w:rPr>
                <w:rFonts w:cs="Arial"/>
                <w:sz w:val="20"/>
              </w:rPr>
              <w:t>2</w:t>
            </w:r>
          </w:p>
        </w:tc>
      </w:tr>
      <w:tr w:rsidR="00435F71" w:rsidTr="00FE3179">
        <w:trPr>
          <w:jc w:val="center"/>
        </w:trPr>
        <w:tc>
          <w:tcPr>
            <w:tcW w:w="1835" w:type="dxa"/>
            <w:tcBorders>
              <w:top w:val="single" w:sz="4" w:space="0" w:color="auto"/>
              <w:left w:val="double" w:sz="6" w:space="0" w:color="auto"/>
              <w:bottom w:val="double" w:sz="6" w:space="0" w:color="auto"/>
              <w:right w:val="single" w:sz="4" w:space="0" w:color="auto"/>
            </w:tcBorders>
            <w:hideMark/>
          </w:tcPr>
          <w:p w:rsidR="00435F71" w:rsidRPr="00FE3179" w:rsidRDefault="00435F71" w:rsidP="00FE3179">
            <w:pPr>
              <w:pStyle w:val="TableTextLeft"/>
              <w:jc w:val="center"/>
              <w:rPr>
                <w:rFonts w:cs="Arial"/>
                <w:b/>
                <w:sz w:val="20"/>
              </w:rPr>
            </w:pPr>
            <w:r w:rsidRPr="00FE3179">
              <w:rPr>
                <w:rFonts w:cs="Arial"/>
                <w:b/>
                <w:sz w:val="20"/>
              </w:rPr>
              <w:t>Total</w:t>
            </w:r>
          </w:p>
        </w:tc>
        <w:tc>
          <w:tcPr>
            <w:tcW w:w="1701" w:type="dxa"/>
            <w:tcBorders>
              <w:top w:val="single" w:sz="4" w:space="0" w:color="auto"/>
              <w:left w:val="single" w:sz="4" w:space="0" w:color="auto"/>
              <w:bottom w:val="double" w:sz="6" w:space="0" w:color="auto"/>
              <w:right w:val="double" w:sz="6" w:space="0" w:color="auto"/>
            </w:tcBorders>
            <w:hideMark/>
          </w:tcPr>
          <w:p w:rsidR="00435F71" w:rsidRPr="00FE3179" w:rsidRDefault="00435F71" w:rsidP="00FE3179">
            <w:pPr>
              <w:pStyle w:val="TableTextLeft"/>
              <w:ind w:right="571"/>
              <w:jc w:val="right"/>
              <w:rPr>
                <w:rFonts w:cs="Arial"/>
                <w:b/>
                <w:sz w:val="20"/>
              </w:rPr>
            </w:pPr>
            <w:r w:rsidRPr="00FE3179">
              <w:rPr>
                <w:rFonts w:cs="Arial"/>
                <w:b/>
                <w:sz w:val="20"/>
              </w:rPr>
              <w:t>1</w:t>
            </w:r>
            <w:r w:rsidR="00D0144F" w:rsidRPr="00FE3179">
              <w:rPr>
                <w:rFonts w:cs="Arial"/>
                <w:b/>
                <w:sz w:val="20"/>
              </w:rPr>
              <w:t>0</w:t>
            </w:r>
            <w:r w:rsidRPr="00FE3179">
              <w:rPr>
                <w:rFonts w:cs="Arial"/>
                <w:b/>
                <w:sz w:val="20"/>
              </w:rPr>
              <w:t>,000</w:t>
            </w:r>
          </w:p>
        </w:tc>
      </w:tr>
    </w:tbl>
    <w:p w:rsidR="00030F42" w:rsidRDefault="00435F71" w:rsidP="00721A2D">
      <w:pPr>
        <w:pStyle w:val="NoNumber"/>
        <w:keepNext/>
        <w:ind w:left="0"/>
        <w:rPr>
          <w:rFonts w:cs="Arial"/>
        </w:rPr>
      </w:pPr>
      <w:r>
        <w:rPr>
          <w:rFonts w:cs="Arial"/>
        </w:rPr>
        <w:t xml:space="preserve">Federal </w:t>
      </w:r>
      <w:r w:rsidR="00DD2748">
        <w:rPr>
          <w:rFonts w:cs="Arial"/>
        </w:rPr>
        <w:t>Circuit Court of Australia</w:t>
      </w:r>
      <w:r>
        <w:rPr>
          <w:rFonts w:cs="Arial"/>
        </w:rPr>
        <w:t xml:space="preserve"> </w:t>
      </w:r>
      <w:r w:rsidR="00030F42">
        <w:rPr>
          <w:rFonts w:cs="Arial"/>
        </w:rPr>
        <w:t>new entrants are assumed to commence on a salary of $3</w:t>
      </w:r>
      <w:r w:rsidR="00DD2748">
        <w:rPr>
          <w:rFonts w:cs="Arial"/>
        </w:rPr>
        <w:t>48,160</w:t>
      </w:r>
      <w:r w:rsidR="00030F42">
        <w:rPr>
          <w:rFonts w:cs="Arial"/>
        </w:rPr>
        <w:t xml:space="preserve"> </w:t>
      </w:r>
      <w:r>
        <w:rPr>
          <w:rFonts w:cs="Arial"/>
        </w:rPr>
        <w:t>in 201</w:t>
      </w:r>
      <w:r w:rsidR="00DD2748">
        <w:rPr>
          <w:rFonts w:cs="Arial"/>
        </w:rPr>
        <w:t>4</w:t>
      </w:r>
      <w:r w:rsidR="00721A2D">
        <w:rPr>
          <w:rFonts w:cs="Arial"/>
        </w:rPr>
        <w:t>-</w:t>
      </w:r>
      <w:r w:rsidR="00DD2748">
        <w:rPr>
          <w:rFonts w:cs="Arial"/>
        </w:rPr>
        <w:t>15</w:t>
      </w:r>
      <w:r>
        <w:rPr>
          <w:rFonts w:cs="Arial"/>
        </w:rPr>
        <w:t xml:space="preserve"> </w:t>
      </w:r>
      <w:r w:rsidR="00030F42">
        <w:rPr>
          <w:rFonts w:cs="Arial"/>
        </w:rPr>
        <w:t>and indexed at 4% per annum.</w:t>
      </w:r>
    </w:p>
    <w:p w:rsidR="00F72537" w:rsidRDefault="00F72537" w:rsidP="000B42D2">
      <w:pPr>
        <w:pStyle w:val="SinglePara"/>
        <w:spacing w:after="360"/>
        <w:rPr>
          <w:rFonts w:cs="Arial"/>
          <w:i/>
        </w:rPr>
      </w:pPr>
    </w:p>
    <w:sectPr w:rsidR="00F72537" w:rsidSect="00C40498">
      <w:headerReference w:type="even" r:id="rId16"/>
      <w:headerReference w:type="default" r:id="rId17"/>
      <w:footerReference w:type="default" r:id="rId18"/>
      <w:headerReference w:type="first" r:id="rId19"/>
      <w:footerReference w:type="first" r:id="rId20"/>
      <w:pgSz w:w="11906" w:h="16838"/>
      <w:pgMar w:top="1276"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61" w:rsidRDefault="00566E61">
      <w:r>
        <w:separator/>
      </w:r>
    </w:p>
  </w:endnote>
  <w:endnote w:type="continuationSeparator" w:id="0">
    <w:p w:rsidR="00566E61" w:rsidRDefault="0056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rsidP="004C1F8D">
    <w:pPr>
      <w:pStyle w:val="Footer"/>
      <w:jc w:val="right"/>
    </w:pPr>
    <w:r>
      <w:t>Australian Government Actuary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Pr="004C1F8D" w:rsidRDefault="00566E61" w:rsidP="004C1F8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Pr="005126B2" w:rsidRDefault="00566E61" w:rsidP="005126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rsidP="000E1EEE">
    <w:pPr>
      <w:pStyle w:val="Footer"/>
      <w:tabs>
        <w:tab w:val="clear" w:pos="8306"/>
        <w:tab w:val="right" w:pos="8800"/>
      </w:tabs>
      <w:spacing w:before="0"/>
      <w:jc w:val="left"/>
    </w:pPr>
    <w:r>
      <w:tab/>
    </w:r>
    <w:r w:rsidR="00620F57">
      <w:rPr>
        <w:rStyle w:val="PageNumber"/>
      </w:rPr>
      <w:fldChar w:fldCharType="begin"/>
    </w:r>
    <w:r>
      <w:rPr>
        <w:rStyle w:val="PageNumber"/>
      </w:rPr>
      <w:instrText xml:space="preserve"> PAGE </w:instrText>
    </w:r>
    <w:r w:rsidR="00620F57">
      <w:rPr>
        <w:rStyle w:val="PageNumber"/>
      </w:rPr>
      <w:fldChar w:fldCharType="separate"/>
    </w:r>
    <w:r w:rsidR="00FA78CE">
      <w:rPr>
        <w:rStyle w:val="PageNumber"/>
        <w:noProof/>
      </w:rPr>
      <w:t>20</w:t>
    </w:r>
    <w:r w:rsidR="00620F57">
      <w:rPr>
        <w:rStyle w:val="PageNumber"/>
      </w:rPr>
      <w:fldChar w:fldCharType="end"/>
    </w:r>
    <w:r>
      <w:rPr>
        <w:rStyle w:val="PageNumber"/>
      </w:rPr>
      <w:tab/>
    </w:r>
    <w:r w:rsidR="00FA78CE">
      <w:rPr>
        <w:noProof/>
        <w:position w:val="-48"/>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20text%20for%20template" style="width:92.4pt;height:40.8pt;visibility:visible">
          <v:imagedata r:id="rId1" o:title="logo%20text%20for%20templat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Pr="004C1F8D" w:rsidRDefault="00566E61" w:rsidP="000E1EEE">
    <w:pPr>
      <w:pStyle w:val="Footer"/>
      <w:tabs>
        <w:tab w:val="clear" w:pos="8306"/>
        <w:tab w:val="right" w:pos="8800"/>
      </w:tabs>
      <w:spacing w:before="0"/>
      <w:jc w:val="left"/>
    </w:pPr>
    <w:r>
      <w:tab/>
    </w:r>
    <w:r w:rsidR="00620F57">
      <w:rPr>
        <w:rStyle w:val="PageNumber"/>
      </w:rPr>
      <w:fldChar w:fldCharType="begin"/>
    </w:r>
    <w:r>
      <w:rPr>
        <w:rStyle w:val="PageNumber"/>
      </w:rPr>
      <w:instrText xml:space="preserve"> PAGE </w:instrText>
    </w:r>
    <w:r w:rsidR="00620F57">
      <w:rPr>
        <w:rStyle w:val="PageNumber"/>
      </w:rPr>
      <w:fldChar w:fldCharType="separate"/>
    </w:r>
    <w:r w:rsidR="00FA78CE">
      <w:rPr>
        <w:rStyle w:val="PageNumber"/>
        <w:noProof/>
      </w:rPr>
      <w:t>3</w:t>
    </w:r>
    <w:r w:rsidR="00620F57">
      <w:rPr>
        <w:rStyle w:val="PageNumber"/>
      </w:rPr>
      <w:fldChar w:fldCharType="end"/>
    </w:r>
    <w:r>
      <w:rPr>
        <w:rStyle w:val="PageNumber"/>
      </w:rPr>
      <w:tab/>
    </w:r>
    <w:r w:rsidR="00FA78CE">
      <w:rPr>
        <w:noProof/>
        <w:position w:val="-48"/>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20text%20for%20template" style="width:93.6pt;height:41.4pt;visibility:visible">
          <v:imagedata r:id="rId1" o:title="logo%20text%20for%20templat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61" w:rsidRDefault="00566E61">
      <w:r>
        <w:separator/>
      </w:r>
    </w:p>
  </w:footnote>
  <w:footnote w:type="continuationSeparator" w:id="0">
    <w:p w:rsidR="00566E61" w:rsidRDefault="0056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FA78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5.25pt;height:166.1pt;z-index:-251659264;mso-position-horizontal:center;mso-position-horizontal-relative:margin;mso-position-vertical:center;mso-position-vertical-relative:margin" wrapcoords="11385 2346 78 2541 39 2932 624 3910 663 14856 351 16420 117 16420 39 16518 39 16811 20547 16811 20586 16615 20430 16420 20235 16420 19962 14856 19923 7037 20352 7037 21444 5962 21444 2541 11619 2346 11385 2346" fillcolor="#d5d00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8A0692" w:rsidP="00ED706E">
    <w:pPr>
      <w:pStyle w:val="Header"/>
      <w:pBdr>
        <w:bottom w:val="single" w:sz="24" w:space="1" w:color="auto"/>
      </w:pBdr>
      <w:jc w:val="right"/>
    </w:pPr>
    <w:r>
      <w:fldChar w:fldCharType="begin"/>
    </w:r>
    <w:r>
      <w:instrText xml:space="preserve"> STYLEREF  "Report Title"  \* MERGEFORMAT </w:instrText>
    </w:r>
    <w:r>
      <w:fldChar w:fldCharType="separate"/>
    </w:r>
    <w:r w:rsidR="00FA78CE">
      <w:rPr>
        <w:b w:val="0"/>
        <w:bCs/>
        <w:noProof/>
        <w:lang w:val="en-US"/>
      </w:rPr>
      <w:t>Error! Use the Home tab to apply Report Title to the text that you want to appear here.</w:t>
    </w:r>
    <w:r>
      <w:rPr>
        <w:noProof/>
      </w:rPr>
      <w:fldChar w:fldCharType="end"/>
    </w:r>
    <w:r>
      <w:fldChar w:fldCharType="begin"/>
    </w:r>
    <w:r>
      <w:instrText xml:space="preserve"> STYLEREF  "Report Title"  \* MERGEFORMAT </w:instrText>
    </w:r>
    <w:r>
      <w:fldChar w:fldCharType="separate"/>
    </w:r>
    <w:r w:rsidR="00FA78CE">
      <w:rPr>
        <w:b w:val="0"/>
        <w:bCs/>
        <w:noProof/>
        <w:lang w:val="en-US"/>
      </w:rPr>
      <w:t>Error! Use the Home tab to apply Report Title to the text that you want to appear here.</w:t>
    </w:r>
    <w:r>
      <w:rPr>
        <w:noProof/>
      </w:rPr>
      <w:fldChar w:fldCharType="end"/>
    </w:r>
    <w:r w:rsidR="00620F57">
      <w:fldChar w:fldCharType="begin"/>
    </w:r>
    <w:r w:rsidR="00566E61">
      <w:instrText xml:space="preserve"> REF ReportTitle \h </w:instrText>
    </w:r>
    <w:r w:rsidR="00620F57">
      <w:fldChar w:fldCharType="separate"/>
    </w:r>
    <w:r w:rsidR="00FA78CE">
      <w:rPr>
        <w:b w:val="0"/>
        <w:bCs/>
        <w:lang w:val="en-US"/>
      </w:rPr>
      <w:t>Error! Reference source not found.</w:t>
    </w:r>
    <w:r w:rsidR="00620F57">
      <w:fldChar w:fldCharType="end"/>
    </w:r>
    <w:r w:rsidR="00FA78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415.25pt;height:166.1pt;z-index:-251658240;mso-position-horizontal:center;mso-position-horizontal-relative:margin;mso-position-vertical:center;mso-position-vertical-relative:margin" wrapcoords="11385 2346 78 2541 39 2932 624 3910 663 14856 351 16420 117 16420 39 16518 39 16811 20547 16811 20586 16615 20430 16420 20235 16420 19962 14856 19923 7037 20352 7037 21444 5962 21444 2541 11619 2346 11385 2346" fillcolor="#d5d000"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FA78CE" w:rsidP="00B24731">
    <w:pPr>
      <w:pStyle w:val="Header"/>
      <w:jc w:val="cen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ustralian Government - Australian Government Actuary" style="width:144.6pt;height:76.8pt;visibility:visible">
          <v:imagedata r:id="rId1" o:title="Austrlian%20Governmnet%20Actuary_stacked"/>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rsidP="003D74B5">
    <w:pPr>
      <w:pStyle w:val="Header"/>
      <w:pBdr>
        <w:bottom w:val="single" w:sz="12" w:space="1" w:color="auto"/>
      </w:pBdr>
      <w:spacing w:before="0" w:after="0"/>
      <w:jc w:val="right"/>
    </w:pPr>
    <w:r>
      <w:t>THE FEDERAL CIRCUIT COURT OF AUSTRALIA DEATH AND INVALITY SCHEME</w:t>
    </w:r>
  </w:p>
  <w:p w:rsidR="00566E61" w:rsidRDefault="00566E61" w:rsidP="003D74B5">
    <w:pPr>
      <w:pStyle w:val="Header"/>
      <w:pBdr>
        <w:bottom w:val="single" w:sz="12" w:space="1" w:color="auto"/>
      </w:pBdr>
      <w:spacing w:before="0" w:after="0"/>
      <w:jc w:val="right"/>
    </w:pPr>
    <w:r>
      <w:t>A REPORT ON THE LONG-TERM COSTS, CARRIED OUT BY THE AUSTRALIAN GOVERNMENT ACTUARY USING DATA TO 30 JUNE 2014</w:t>
    </w:r>
  </w:p>
  <w:p w:rsidR="00566E61" w:rsidRPr="00242EB1" w:rsidRDefault="00566E61" w:rsidP="00242E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61" w:rsidRDefault="00566E61" w:rsidP="003D74B5">
    <w:pPr>
      <w:pStyle w:val="Header"/>
      <w:pBdr>
        <w:bottom w:val="single" w:sz="12" w:space="1" w:color="auto"/>
      </w:pBdr>
      <w:spacing w:before="0" w:after="0"/>
      <w:jc w:val="right"/>
    </w:pPr>
    <w:r>
      <w:t>THE FEDERAL CIRCUIT COURT OF AUSTRALIA DEATH AND INVALITY SCHEME</w:t>
    </w:r>
  </w:p>
  <w:p w:rsidR="00566E61" w:rsidRDefault="00566E61" w:rsidP="003D74B5">
    <w:pPr>
      <w:pStyle w:val="Header"/>
      <w:pBdr>
        <w:bottom w:val="single" w:sz="12" w:space="1" w:color="auto"/>
      </w:pBdr>
      <w:spacing w:before="0" w:after="0"/>
      <w:jc w:val="right"/>
    </w:pPr>
    <w:r>
      <w:t>A REPORT ON THE LONG-TERM COSTS, CARRIED OUT BY THE AUSTRALIAN GOVERNMENT ACTUARY USING DATA TO 30 JUNE 2014</w:t>
    </w:r>
  </w:p>
  <w:p w:rsidR="00566E61" w:rsidRDefault="00566E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80C"/>
    <w:multiLevelType w:val="multilevel"/>
    <w:tmpl w:val="7C8C7BD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 w15:restartNumberingAfterBreak="0">
    <w:nsid w:val="18966B8C"/>
    <w:multiLevelType w:val="multilevel"/>
    <w:tmpl w:val="795076CC"/>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DD0F5A"/>
    <w:multiLevelType w:val="singleLevel"/>
    <w:tmpl w:val="6F14EA2A"/>
    <w:name w:val="StandardNumberedParagraphList"/>
    <w:lvl w:ilvl="0">
      <w:start w:val="2"/>
      <w:numFmt w:val="decimal"/>
      <w:pStyle w:val="NumberedParagraph"/>
      <w:lvlText w:val="%1"/>
      <w:lvlJc w:val="left"/>
      <w:pPr>
        <w:tabs>
          <w:tab w:val="num" w:pos="850"/>
        </w:tabs>
        <w:ind w:left="850" w:hanging="850"/>
      </w:pPr>
    </w:lvl>
  </w:abstractNum>
  <w:abstractNum w:abstractNumId="3" w15:restartNumberingAfterBreak="0">
    <w:nsid w:val="2140509D"/>
    <w:multiLevelType w:val="multilevel"/>
    <w:tmpl w:val="3C18CB42"/>
    <w:lvl w:ilvl="0">
      <w:start w:val="1"/>
      <w:numFmt w:val="decimal"/>
      <w:pStyle w:val="Heading1"/>
      <w:lvlText w:val="%1"/>
      <w:lvlJc w:val="left"/>
      <w:pPr>
        <w:tabs>
          <w:tab w:val="num" w:pos="850"/>
        </w:tabs>
        <w:ind w:left="850" w:hanging="850"/>
      </w:pPr>
      <w:rPr>
        <w:rFonts w:ascii="Arial" w:hAnsi="Arial" w:cs="Arial" w:hint="default"/>
        <w:b/>
        <w:i w:val="0"/>
        <w:sz w:val="28"/>
        <w:szCs w:val="28"/>
      </w:rPr>
    </w:lvl>
    <w:lvl w:ilvl="1">
      <w:start w:val="1"/>
      <w:numFmt w:val="decimal"/>
      <w:lvlText w:val="%1.%2"/>
      <w:lvlJc w:val="left"/>
      <w:pPr>
        <w:tabs>
          <w:tab w:val="num" w:pos="850"/>
        </w:tabs>
        <w:ind w:left="850" w:hanging="850"/>
      </w:pPr>
      <w:rPr>
        <w:rFonts w:ascii="Arial" w:hAnsi="Arial" w:cs="Arial" w:hint="default"/>
        <w:b w:val="0"/>
        <w:i w:val="0"/>
        <w:sz w:val="20"/>
        <w:szCs w:val="20"/>
      </w:rPr>
    </w:lvl>
    <w:lvl w:ilvl="2">
      <w:start w:val="1"/>
      <w:numFmt w:val="decimal"/>
      <w:pStyle w:val="BodyText"/>
      <w:lvlText w:val="%1.%3"/>
      <w:lvlJc w:val="left"/>
      <w:pPr>
        <w:tabs>
          <w:tab w:val="num" w:pos="1134"/>
        </w:tabs>
        <w:ind w:left="1134" w:hanging="850"/>
      </w:pPr>
      <w:rPr>
        <w:rFonts w:ascii="Arial" w:hAnsi="Arial" w:cs="Arial" w:hint="default"/>
        <w:b w:val="0"/>
        <w:i w:val="0"/>
        <w:sz w:val="20"/>
        <w:szCs w:val="20"/>
      </w:rPr>
    </w:lvl>
    <w:lvl w:ilvl="3">
      <w:start w:val="1"/>
      <w:numFmt w:val="decimal"/>
      <w:pStyle w:val="BodyText2"/>
      <w:lvlText w:val="%1.%2.%4"/>
      <w:lvlJc w:val="left"/>
      <w:pPr>
        <w:tabs>
          <w:tab w:val="num" w:pos="850"/>
        </w:tabs>
        <w:ind w:left="850" w:hanging="850"/>
      </w:pPr>
      <w:rPr>
        <w:rFonts w:ascii="Arial" w:hAnsi="Arial" w:cs="Arial" w:hint="default"/>
        <w:b w:val="0"/>
        <w:i w:val="0"/>
        <w:sz w:val="20"/>
        <w:szCs w:val="20"/>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ACB6029"/>
    <w:multiLevelType w:val="multilevel"/>
    <w:tmpl w:val="0C09001D"/>
    <w:name w:val="StandardHeadingList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E64CAB"/>
    <w:multiLevelType w:val="multilevel"/>
    <w:tmpl w:val="925654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pStyle w:val="Heading5"/>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1DD3640"/>
    <w:multiLevelType w:val="multilevel"/>
    <w:tmpl w:val="0C09001D"/>
    <w:name w:val="StandardHeadingList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C6671B"/>
    <w:multiLevelType w:val="multilevel"/>
    <w:tmpl w:val="1DEA1C5A"/>
    <w:name w:val="StandardHeadingList4"/>
    <w:lvl w:ilvl="0">
      <w:start w:val="1"/>
      <w:numFmt w:val="decimal"/>
      <w:lvlText w:val="%1"/>
      <w:lvlJc w:val="left"/>
      <w:pPr>
        <w:tabs>
          <w:tab w:val="num" w:pos="850"/>
        </w:tabs>
        <w:ind w:left="850" w:hanging="850"/>
      </w:pPr>
      <w:rPr>
        <w:rFonts w:ascii="Trebuchet MS" w:hAnsi="Trebuchet MS" w:hint="default"/>
        <w:b/>
        <w:i w:val="0"/>
        <w:sz w:val="28"/>
      </w:rPr>
    </w:lvl>
    <w:lvl w:ilvl="1">
      <w:start w:val="1"/>
      <w:numFmt w:val="decimal"/>
      <w:lvlText w:val="%1.%2"/>
      <w:lvlJc w:val="left"/>
      <w:pPr>
        <w:tabs>
          <w:tab w:val="num" w:pos="850"/>
        </w:tabs>
        <w:ind w:left="850" w:hanging="850"/>
      </w:pPr>
      <w:rPr>
        <w:rFonts w:ascii="Trebuchet MS" w:hAnsi="Trebuchet MS" w:hint="default"/>
        <w:b/>
        <w:i/>
        <w:sz w:val="24"/>
      </w:rPr>
    </w:lvl>
    <w:lvl w:ilvl="2">
      <w:start w:val="1"/>
      <w:numFmt w:val="decimal"/>
      <w:lvlText w:val="%1.%2.%3"/>
      <w:lvlJc w:val="left"/>
      <w:pPr>
        <w:tabs>
          <w:tab w:val="num" w:pos="1134"/>
        </w:tabs>
        <w:ind w:left="1134" w:hanging="1134"/>
      </w:pPr>
      <w:rPr>
        <w:rFonts w:ascii="Trebuchet MS" w:hAnsi="Trebuchet MS" w:hint="default"/>
        <w:b w:val="0"/>
        <w:i w:val="0"/>
        <w:sz w:val="22"/>
      </w:rPr>
    </w:lvl>
    <w:lvl w:ilvl="3">
      <w:start w:val="1"/>
      <w:numFmt w:val="bullet"/>
      <w:lvlText w:val=""/>
      <w:lvlJc w:val="left"/>
      <w:pPr>
        <w:tabs>
          <w:tab w:val="num" w:pos="851"/>
        </w:tabs>
        <w:ind w:left="851" w:hanging="851"/>
      </w:pPr>
      <w:rPr>
        <w:rFonts w:ascii="Symbol" w:hAnsi="Symbol" w:hint="default"/>
        <w:sz w:val="28"/>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AFE5266"/>
    <w:multiLevelType w:val="multilevel"/>
    <w:tmpl w:val="049E660A"/>
    <w:name w:val="AGALettterBulletedList"/>
    <w:lvl w:ilvl="0">
      <w:start w:val="1"/>
      <w:numFmt w:val="decimal"/>
      <w:lvlText w:val="%1"/>
      <w:lvlJc w:val="left"/>
      <w:pPr>
        <w:tabs>
          <w:tab w:val="num" w:pos="850"/>
        </w:tabs>
        <w:ind w:left="850" w:hanging="850"/>
      </w:pPr>
      <w:rPr>
        <w:rFonts w:ascii="Trebuchet MS" w:hAnsi="Trebuchet MS" w:hint="default"/>
        <w:b/>
        <w:i w:val="0"/>
        <w:sz w:val="28"/>
      </w:rPr>
    </w:lvl>
    <w:lvl w:ilvl="1">
      <w:start w:val="1"/>
      <w:numFmt w:val="decimal"/>
      <w:lvlText w:val="%1.%2"/>
      <w:lvlJc w:val="left"/>
      <w:pPr>
        <w:tabs>
          <w:tab w:val="num" w:pos="850"/>
        </w:tabs>
        <w:ind w:left="850" w:hanging="850"/>
      </w:pPr>
      <w:rPr>
        <w:rFonts w:ascii="Trebuchet MS" w:hAnsi="Trebuchet MS" w:hint="default"/>
        <w:b/>
        <w:i/>
        <w:sz w:val="24"/>
      </w:rPr>
    </w:lvl>
    <w:lvl w:ilvl="2">
      <w:start w:val="1"/>
      <w:numFmt w:val="decimal"/>
      <w:lvlText w:val="%1.%2.%3"/>
      <w:lvlJc w:val="left"/>
      <w:pPr>
        <w:tabs>
          <w:tab w:val="num" w:pos="1134"/>
        </w:tabs>
        <w:ind w:left="1134" w:hanging="1134"/>
      </w:pPr>
      <w:rPr>
        <w:rFonts w:ascii="Trebuchet MS" w:hAnsi="Trebuchet MS" w:hint="default"/>
        <w:b w:val="0"/>
        <w:i w:val="0"/>
        <w:sz w:val="22"/>
      </w:rPr>
    </w:lvl>
    <w:lvl w:ilvl="3">
      <w:start w:val="1"/>
      <w:numFmt w:val="bullet"/>
      <w:lvlText w:val=""/>
      <w:lvlJc w:val="left"/>
      <w:pPr>
        <w:tabs>
          <w:tab w:val="num" w:pos="851"/>
        </w:tabs>
        <w:ind w:left="851" w:hanging="851"/>
      </w:pPr>
      <w:rPr>
        <w:rFonts w:ascii="Symbol" w:hAnsi="Symbol" w:hint="default"/>
        <w:sz w:val="28"/>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63D662D"/>
    <w:multiLevelType w:val="multilevel"/>
    <w:tmpl w:val="0C09001D"/>
    <w:name w:val="StandardHeading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04D7167"/>
    <w:multiLevelType w:val="multilevel"/>
    <w:tmpl w:val="21622140"/>
    <w:name w:val="AGAReportBulletedList2"/>
    <w:lvl w:ilvl="0">
      <w:start w:val="1"/>
      <w:numFmt w:val="bullet"/>
      <w:pStyle w:val="Bullet"/>
      <w:lvlText w:val="•"/>
      <w:lvlJc w:val="left"/>
      <w:pPr>
        <w:tabs>
          <w:tab w:val="num" w:pos="1418"/>
        </w:tabs>
        <w:ind w:left="1418" w:hanging="567"/>
      </w:pPr>
      <w:rPr>
        <w:rFonts w:hint="default"/>
      </w:rPr>
    </w:lvl>
    <w:lvl w:ilvl="1">
      <w:start w:val="1"/>
      <w:numFmt w:val="bullet"/>
      <w:pStyle w:val="Dash"/>
      <w:lvlText w:val="–"/>
      <w:lvlJc w:val="left"/>
      <w:pPr>
        <w:tabs>
          <w:tab w:val="num" w:pos="1985"/>
        </w:tabs>
        <w:ind w:left="1985" w:hanging="567"/>
      </w:pPr>
      <w:rPr>
        <w:rFonts w:hint="default"/>
      </w:rPr>
    </w:lvl>
    <w:lvl w:ilvl="2">
      <w:start w:val="1"/>
      <w:numFmt w:val="bullet"/>
      <w:pStyle w:val="DoubleDot"/>
      <w:lvlText w:val=":"/>
      <w:lvlJc w:val="left"/>
      <w:pPr>
        <w:tabs>
          <w:tab w:val="num" w:pos="2552"/>
        </w:tabs>
        <w:ind w:left="2552" w:hanging="567"/>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56DD3645"/>
    <w:multiLevelType w:val="multilevel"/>
    <w:tmpl w:val="6A42E638"/>
    <w:name w:val="AGAReportBullet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E47384"/>
    <w:multiLevelType w:val="hybridMultilevel"/>
    <w:tmpl w:val="C780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3E6583"/>
    <w:multiLevelType w:val="multilevel"/>
    <w:tmpl w:val="0C09001D"/>
    <w:name w:val="StandardNumbered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7EB7CD2"/>
    <w:multiLevelType w:val="multilevel"/>
    <w:tmpl w:val="94726B66"/>
    <w:name w:val="StandardHeadingList5"/>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1134"/>
        </w:tabs>
        <w:ind w:left="1134" w:hanging="1134"/>
      </w:pPr>
      <w:rPr>
        <w:rFonts w:ascii="Univers 55" w:hAnsi="Univers 55" w:hint="default"/>
      </w:rPr>
    </w:lvl>
    <w:lvl w:ilvl="3">
      <w:start w:val="1"/>
      <w:numFmt w:val="decimal"/>
      <w:isLgl/>
      <w:lvlText w:val="%1.%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9A449E7"/>
    <w:multiLevelType w:val="multilevel"/>
    <w:tmpl w:val="21AC0DA8"/>
    <w:name w:val="StandardHeadingListAGA"/>
    <w:lvl w:ilvl="0">
      <w:start w:val="1"/>
      <w:numFmt w:val="decimal"/>
      <w:lvlText w:val="%1"/>
      <w:lvlJc w:val="left"/>
      <w:pPr>
        <w:tabs>
          <w:tab w:val="num" w:pos="850"/>
        </w:tabs>
        <w:ind w:left="850" w:hanging="850"/>
      </w:pPr>
      <w:rPr>
        <w:rFonts w:ascii="Trebuchet MS" w:hAnsi="Trebuchet MS" w:hint="default"/>
        <w:b/>
        <w:i w:val="0"/>
        <w:sz w:val="28"/>
      </w:rPr>
    </w:lvl>
    <w:lvl w:ilvl="1">
      <w:start w:val="1"/>
      <w:numFmt w:val="decimal"/>
      <w:lvlText w:val="%1.%2"/>
      <w:lvlJc w:val="left"/>
      <w:pPr>
        <w:tabs>
          <w:tab w:val="num" w:pos="850"/>
        </w:tabs>
        <w:ind w:left="850" w:hanging="850"/>
      </w:pPr>
      <w:rPr>
        <w:rFonts w:ascii="Trebuchet MS" w:hAnsi="Trebuchet MS" w:hint="default"/>
        <w:b/>
        <w:i/>
        <w:sz w:val="24"/>
      </w:rPr>
    </w:lvl>
    <w:lvl w:ilvl="2">
      <w:start w:val="1"/>
      <w:numFmt w:val="decimal"/>
      <w:lvlText w:val="%1.%2.%3"/>
      <w:lvlJc w:val="left"/>
      <w:pPr>
        <w:tabs>
          <w:tab w:val="num" w:pos="1134"/>
        </w:tabs>
        <w:ind w:left="1134" w:hanging="1134"/>
      </w:pPr>
      <w:rPr>
        <w:rFonts w:ascii="Trebuchet MS" w:hAnsi="Trebuchet MS" w:hint="default"/>
        <w:b w:val="0"/>
        <w:i w:val="0"/>
        <w:sz w:val="22"/>
      </w:rPr>
    </w:lvl>
    <w:lvl w:ilvl="3">
      <w:start w:val="1"/>
      <w:numFmt w:val="bullet"/>
      <w:lvlText w:val=""/>
      <w:lvlJc w:val="left"/>
      <w:pPr>
        <w:tabs>
          <w:tab w:val="num" w:pos="851"/>
        </w:tabs>
        <w:ind w:left="851" w:hanging="851"/>
      </w:pPr>
      <w:rPr>
        <w:rFonts w:ascii="Symbol" w:hAnsi="Symbol" w:hint="default"/>
        <w:sz w:val="28"/>
      </w:rPr>
    </w:lvl>
    <w:lvl w:ilvl="4">
      <w:start w:val="1"/>
      <w:numFmt w:val="bullet"/>
      <w:lvlText w:val=""/>
      <w:lvlJc w:val="left"/>
      <w:pPr>
        <w:tabs>
          <w:tab w:val="num" w:pos="1418"/>
        </w:tabs>
        <w:ind w:left="1418" w:hanging="567"/>
      </w:pPr>
      <w:rPr>
        <w:rFonts w:ascii="Symbol" w:hAnsi="Symbol" w:hint="default"/>
        <w:sz w:val="2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C4704FB"/>
    <w:multiLevelType w:val="multilevel"/>
    <w:tmpl w:val="8126FB58"/>
    <w:name w:val="StandardHeadingList2"/>
    <w:lvl w:ilvl="0">
      <w:start w:val="1"/>
      <w:numFmt w:val="bullet"/>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10"/>
  </w:num>
  <w:num w:numId="2">
    <w:abstractNumId w:val="2"/>
  </w:num>
  <w:num w:numId="3">
    <w:abstractNumId w:val="5"/>
  </w:num>
  <w:num w:numId="4">
    <w:abstractNumId w:val="3"/>
  </w:num>
  <w:num w:numId="5">
    <w:abstractNumId w:val="3"/>
  </w:num>
  <w:num w:numId="6">
    <w:abstractNumId w:val="3"/>
  </w:num>
  <w:num w:numId="7">
    <w:abstractNumId w:val="5"/>
  </w:num>
  <w:num w:numId="8">
    <w:abstractNumId w:val="3"/>
  </w:num>
  <w:num w:numId="9">
    <w:abstractNumId w:val="3"/>
  </w:num>
  <w:num w:numId="10">
    <w:abstractNumId w:val="16"/>
  </w:num>
  <w:num w:numId="11">
    <w:abstractNumId w:val="0"/>
  </w:num>
  <w:num w:numId="12">
    <w:abstractNumId w:val="11"/>
  </w:num>
  <w:num w:numId="13">
    <w:abstractNumId w:val="12"/>
  </w:num>
  <w:num w:numId="14">
    <w:abstractNumId w:val="1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10"/>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B7"/>
    <w:rsid w:val="00012D0A"/>
    <w:rsid w:val="000138C3"/>
    <w:rsid w:val="00016038"/>
    <w:rsid w:val="000238BB"/>
    <w:rsid w:val="00025BCC"/>
    <w:rsid w:val="0002758F"/>
    <w:rsid w:val="0003094B"/>
    <w:rsid w:val="00030F42"/>
    <w:rsid w:val="0003272F"/>
    <w:rsid w:val="00034AA8"/>
    <w:rsid w:val="0004748B"/>
    <w:rsid w:val="00054085"/>
    <w:rsid w:val="000635B5"/>
    <w:rsid w:val="00066F54"/>
    <w:rsid w:val="000714B8"/>
    <w:rsid w:val="00074A4D"/>
    <w:rsid w:val="000767DA"/>
    <w:rsid w:val="00081F9E"/>
    <w:rsid w:val="00083411"/>
    <w:rsid w:val="00085213"/>
    <w:rsid w:val="00087E9C"/>
    <w:rsid w:val="00090229"/>
    <w:rsid w:val="00090B99"/>
    <w:rsid w:val="0009102D"/>
    <w:rsid w:val="000910F7"/>
    <w:rsid w:val="000A2DB0"/>
    <w:rsid w:val="000A3165"/>
    <w:rsid w:val="000B42D2"/>
    <w:rsid w:val="000B4D6E"/>
    <w:rsid w:val="000C0FB3"/>
    <w:rsid w:val="000C206B"/>
    <w:rsid w:val="000C66D4"/>
    <w:rsid w:val="000E1EEE"/>
    <w:rsid w:val="000E7CA9"/>
    <w:rsid w:val="000F4CBD"/>
    <w:rsid w:val="000F4E5B"/>
    <w:rsid w:val="000F5B48"/>
    <w:rsid w:val="000F63AA"/>
    <w:rsid w:val="00101814"/>
    <w:rsid w:val="00101853"/>
    <w:rsid w:val="00113A94"/>
    <w:rsid w:val="0011562F"/>
    <w:rsid w:val="00125D38"/>
    <w:rsid w:val="001260F1"/>
    <w:rsid w:val="00130B78"/>
    <w:rsid w:val="00130FCD"/>
    <w:rsid w:val="0014225C"/>
    <w:rsid w:val="00143A73"/>
    <w:rsid w:val="0014577E"/>
    <w:rsid w:val="001564CB"/>
    <w:rsid w:val="00164781"/>
    <w:rsid w:val="00165FFC"/>
    <w:rsid w:val="001661FE"/>
    <w:rsid w:val="0017251B"/>
    <w:rsid w:val="00175336"/>
    <w:rsid w:val="001800F6"/>
    <w:rsid w:val="00183877"/>
    <w:rsid w:val="00191D0D"/>
    <w:rsid w:val="001942D0"/>
    <w:rsid w:val="0019529A"/>
    <w:rsid w:val="00197A57"/>
    <w:rsid w:val="001A0B4A"/>
    <w:rsid w:val="001C08F2"/>
    <w:rsid w:val="001C7D59"/>
    <w:rsid w:val="001D460B"/>
    <w:rsid w:val="001D62EA"/>
    <w:rsid w:val="001D6979"/>
    <w:rsid w:val="001D780C"/>
    <w:rsid w:val="001E429D"/>
    <w:rsid w:val="001E50DA"/>
    <w:rsid w:val="001F0F16"/>
    <w:rsid w:val="001F40FE"/>
    <w:rsid w:val="001F42AF"/>
    <w:rsid w:val="00200217"/>
    <w:rsid w:val="00202148"/>
    <w:rsid w:val="002033B3"/>
    <w:rsid w:val="002074CA"/>
    <w:rsid w:val="00210D22"/>
    <w:rsid w:val="0021181A"/>
    <w:rsid w:val="002149E1"/>
    <w:rsid w:val="0022172F"/>
    <w:rsid w:val="00226E7B"/>
    <w:rsid w:val="00227A1E"/>
    <w:rsid w:val="00241430"/>
    <w:rsid w:val="00242EB1"/>
    <w:rsid w:val="00254FD5"/>
    <w:rsid w:val="00257130"/>
    <w:rsid w:val="00261230"/>
    <w:rsid w:val="002744DF"/>
    <w:rsid w:val="00275842"/>
    <w:rsid w:val="0027710B"/>
    <w:rsid w:val="00280335"/>
    <w:rsid w:val="00285AA8"/>
    <w:rsid w:val="002906D1"/>
    <w:rsid w:val="00291909"/>
    <w:rsid w:val="002A3112"/>
    <w:rsid w:val="002A397B"/>
    <w:rsid w:val="002A4203"/>
    <w:rsid w:val="002A7970"/>
    <w:rsid w:val="002B1EB7"/>
    <w:rsid w:val="002D739E"/>
    <w:rsid w:val="002E3C9A"/>
    <w:rsid w:val="002E50C2"/>
    <w:rsid w:val="002F7273"/>
    <w:rsid w:val="003027E3"/>
    <w:rsid w:val="003071A4"/>
    <w:rsid w:val="00336FAC"/>
    <w:rsid w:val="00343D26"/>
    <w:rsid w:val="00346A63"/>
    <w:rsid w:val="00350286"/>
    <w:rsid w:val="003509BC"/>
    <w:rsid w:val="003571C5"/>
    <w:rsid w:val="003575E5"/>
    <w:rsid w:val="00372747"/>
    <w:rsid w:val="00382116"/>
    <w:rsid w:val="00383526"/>
    <w:rsid w:val="0038526C"/>
    <w:rsid w:val="0038673A"/>
    <w:rsid w:val="0038707B"/>
    <w:rsid w:val="003909D9"/>
    <w:rsid w:val="00393975"/>
    <w:rsid w:val="00393F9F"/>
    <w:rsid w:val="00394857"/>
    <w:rsid w:val="003A6FD1"/>
    <w:rsid w:val="003B0618"/>
    <w:rsid w:val="003B46B4"/>
    <w:rsid w:val="003B675F"/>
    <w:rsid w:val="003C4E1A"/>
    <w:rsid w:val="003D74B5"/>
    <w:rsid w:val="003E26A2"/>
    <w:rsid w:val="003E345C"/>
    <w:rsid w:val="003E453F"/>
    <w:rsid w:val="003F6AA3"/>
    <w:rsid w:val="00411842"/>
    <w:rsid w:val="00411C13"/>
    <w:rsid w:val="004138BC"/>
    <w:rsid w:val="0041798F"/>
    <w:rsid w:val="0042376A"/>
    <w:rsid w:val="00426A6B"/>
    <w:rsid w:val="004271AA"/>
    <w:rsid w:val="00435F71"/>
    <w:rsid w:val="0043635B"/>
    <w:rsid w:val="004374D5"/>
    <w:rsid w:val="0045247B"/>
    <w:rsid w:val="00456677"/>
    <w:rsid w:val="0047436D"/>
    <w:rsid w:val="0047479E"/>
    <w:rsid w:val="00475627"/>
    <w:rsid w:val="0048341A"/>
    <w:rsid w:val="00483D92"/>
    <w:rsid w:val="00483FFF"/>
    <w:rsid w:val="0048473E"/>
    <w:rsid w:val="00497BAC"/>
    <w:rsid w:val="004A2DF2"/>
    <w:rsid w:val="004A3798"/>
    <w:rsid w:val="004A4018"/>
    <w:rsid w:val="004B2207"/>
    <w:rsid w:val="004B277D"/>
    <w:rsid w:val="004B5C58"/>
    <w:rsid w:val="004C1AED"/>
    <w:rsid w:val="004C1F8D"/>
    <w:rsid w:val="004C5DE6"/>
    <w:rsid w:val="004D0F96"/>
    <w:rsid w:val="004D3BD2"/>
    <w:rsid w:val="004D438D"/>
    <w:rsid w:val="004E36E9"/>
    <w:rsid w:val="004E3B2E"/>
    <w:rsid w:val="004F52F0"/>
    <w:rsid w:val="004F67CD"/>
    <w:rsid w:val="00503EAE"/>
    <w:rsid w:val="00505B8D"/>
    <w:rsid w:val="00506BA9"/>
    <w:rsid w:val="005126B2"/>
    <w:rsid w:val="0051271E"/>
    <w:rsid w:val="00513A48"/>
    <w:rsid w:val="00516097"/>
    <w:rsid w:val="005237CB"/>
    <w:rsid w:val="0052530A"/>
    <w:rsid w:val="00525538"/>
    <w:rsid w:val="00527D8E"/>
    <w:rsid w:val="005305D3"/>
    <w:rsid w:val="00533274"/>
    <w:rsid w:val="0054383D"/>
    <w:rsid w:val="00557BF4"/>
    <w:rsid w:val="00557D0B"/>
    <w:rsid w:val="00564D24"/>
    <w:rsid w:val="00566E61"/>
    <w:rsid w:val="00573BA7"/>
    <w:rsid w:val="00576440"/>
    <w:rsid w:val="005777B9"/>
    <w:rsid w:val="00585561"/>
    <w:rsid w:val="00585749"/>
    <w:rsid w:val="00586730"/>
    <w:rsid w:val="005A18C7"/>
    <w:rsid w:val="005A2100"/>
    <w:rsid w:val="005A68B6"/>
    <w:rsid w:val="005B686D"/>
    <w:rsid w:val="005B697B"/>
    <w:rsid w:val="005C4AB4"/>
    <w:rsid w:val="005D022E"/>
    <w:rsid w:val="005D08EB"/>
    <w:rsid w:val="005D10CF"/>
    <w:rsid w:val="005D3941"/>
    <w:rsid w:val="005D4019"/>
    <w:rsid w:val="005D72DA"/>
    <w:rsid w:val="005E10D9"/>
    <w:rsid w:val="005F07B9"/>
    <w:rsid w:val="005F1139"/>
    <w:rsid w:val="005F2146"/>
    <w:rsid w:val="005F3F4D"/>
    <w:rsid w:val="005F6C07"/>
    <w:rsid w:val="005F7704"/>
    <w:rsid w:val="0060077E"/>
    <w:rsid w:val="00603BF5"/>
    <w:rsid w:val="00604B8D"/>
    <w:rsid w:val="00606861"/>
    <w:rsid w:val="00611AAA"/>
    <w:rsid w:val="00612265"/>
    <w:rsid w:val="006178FC"/>
    <w:rsid w:val="00620442"/>
    <w:rsid w:val="00620F57"/>
    <w:rsid w:val="00624743"/>
    <w:rsid w:val="0062522E"/>
    <w:rsid w:val="0062717F"/>
    <w:rsid w:val="00632A55"/>
    <w:rsid w:val="006333E5"/>
    <w:rsid w:val="0063454D"/>
    <w:rsid w:val="00650D8B"/>
    <w:rsid w:val="0065424C"/>
    <w:rsid w:val="0065618C"/>
    <w:rsid w:val="00656BFD"/>
    <w:rsid w:val="00657EF5"/>
    <w:rsid w:val="00663406"/>
    <w:rsid w:val="00667A91"/>
    <w:rsid w:val="00672166"/>
    <w:rsid w:val="006723F1"/>
    <w:rsid w:val="0067454F"/>
    <w:rsid w:val="006761E6"/>
    <w:rsid w:val="00690EC9"/>
    <w:rsid w:val="00692AF5"/>
    <w:rsid w:val="006961D3"/>
    <w:rsid w:val="006962EF"/>
    <w:rsid w:val="006A1CC3"/>
    <w:rsid w:val="006A7CA1"/>
    <w:rsid w:val="006B37CF"/>
    <w:rsid w:val="006C118A"/>
    <w:rsid w:val="006D3BF0"/>
    <w:rsid w:val="006D4E58"/>
    <w:rsid w:val="006E0E71"/>
    <w:rsid w:val="006E197C"/>
    <w:rsid w:val="006E5CF4"/>
    <w:rsid w:val="006F20B1"/>
    <w:rsid w:val="006F2474"/>
    <w:rsid w:val="00706CBC"/>
    <w:rsid w:val="00712283"/>
    <w:rsid w:val="00717D40"/>
    <w:rsid w:val="00721A2D"/>
    <w:rsid w:val="00722AF5"/>
    <w:rsid w:val="00725B55"/>
    <w:rsid w:val="00726C54"/>
    <w:rsid w:val="00730FA5"/>
    <w:rsid w:val="007334F8"/>
    <w:rsid w:val="00733984"/>
    <w:rsid w:val="00736DED"/>
    <w:rsid w:val="0074282D"/>
    <w:rsid w:val="007618E4"/>
    <w:rsid w:val="00764F83"/>
    <w:rsid w:val="00771847"/>
    <w:rsid w:val="00774171"/>
    <w:rsid w:val="00774A67"/>
    <w:rsid w:val="00784954"/>
    <w:rsid w:val="00787F8F"/>
    <w:rsid w:val="00790D98"/>
    <w:rsid w:val="00791C6D"/>
    <w:rsid w:val="007941A3"/>
    <w:rsid w:val="00795578"/>
    <w:rsid w:val="00796863"/>
    <w:rsid w:val="007A1129"/>
    <w:rsid w:val="007B324B"/>
    <w:rsid w:val="007B6C06"/>
    <w:rsid w:val="007C1690"/>
    <w:rsid w:val="007C2DCD"/>
    <w:rsid w:val="007C3E1F"/>
    <w:rsid w:val="007C716B"/>
    <w:rsid w:val="007C7FFA"/>
    <w:rsid w:val="007D25D7"/>
    <w:rsid w:val="007D2C81"/>
    <w:rsid w:val="007D7583"/>
    <w:rsid w:val="007E0754"/>
    <w:rsid w:val="007E12FA"/>
    <w:rsid w:val="007E6875"/>
    <w:rsid w:val="007E7D2E"/>
    <w:rsid w:val="008019C9"/>
    <w:rsid w:val="00803053"/>
    <w:rsid w:val="00803649"/>
    <w:rsid w:val="008058E2"/>
    <w:rsid w:val="008077AD"/>
    <w:rsid w:val="00810281"/>
    <w:rsid w:val="00812685"/>
    <w:rsid w:val="00814C36"/>
    <w:rsid w:val="0081662B"/>
    <w:rsid w:val="00817874"/>
    <w:rsid w:val="00822E1C"/>
    <w:rsid w:val="00825C8E"/>
    <w:rsid w:val="008262D8"/>
    <w:rsid w:val="0082685D"/>
    <w:rsid w:val="00831A87"/>
    <w:rsid w:val="00836D29"/>
    <w:rsid w:val="00851623"/>
    <w:rsid w:val="00851AB1"/>
    <w:rsid w:val="008533CA"/>
    <w:rsid w:val="0085642B"/>
    <w:rsid w:val="008602ED"/>
    <w:rsid w:val="00860A8B"/>
    <w:rsid w:val="00862094"/>
    <w:rsid w:val="00862F0E"/>
    <w:rsid w:val="00864B3A"/>
    <w:rsid w:val="00867C15"/>
    <w:rsid w:val="008741F6"/>
    <w:rsid w:val="008821C6"/>
    <w:rsid w:val="00893A31"/>
    <w:rsid w:val="008A0692"/>
    <w:rsid w:val="008B190B"/>
    <w:rsid w:val="008B403C"/>
    <w:rsid w:val="008B4C7C"/>
    <w:rsid w:val="008C479F"/>
    <w:rsid w:val="008C700A"/>
    <w:rsid w:val="008D2B45"/>
    <w:rsid w:val="008D2DA9"/>
    <w:rsid w:val="008E17EB"/>
    <w:rsid w:val="008E18D3"/>
    <w:rsid w:val="008E1CE7"/>
    <w:rsid w:val="00900B95"/>
    <w:rsid w:val="009048A4"/>
    <w:rsid w:val="009104C9"/>
    <w:rsid w:val="00911E16"/>
    <w:rsid w:val="0091294A"/>
    <w:rsid w:val="00915E89"/>
    <w:rsid w:val="0092623A"/>
    <w:rsid w:val="009411AD"/>
    <w:rsid w:val="00946CD1"/>
    <w:rsid w:val="00951388"/>
    <w:rsid w:val="00951515"/>
    <w:rsid w:val="009567D9"/>
    <w:rsid w:val="009612B8"/>
    <w:rsid w:val="00961906"/>
    <w:rsid w:val="00996E95"/>
    <w:rsid w:val="009A5A6B"/>
    <w:rsid w:val="009B188A"/>
    <w:rsid w:val="009B7205"/>
    <w:rsid w:val="009B79BA"/>
    <w:rsid w:val="009C458F"/>
    <w:rsid w:val="009C59CB"/>
    <w:rsid w:val="009D169B"/>
    <w:rsid w:val="009D3133"/>
    <w:rsid w:val="009E5028"/>
    <w:rsid w:val="009E5CD8"/>
    <w:rsid w:val="009E7285"/>
    <w:rsid w:val="009F0C3D"/>
    <w:rsid w:val="009F5AAA"/>
    <w:rsid w:val="009F5E93"/>
    <w:rsid w:val="00A009D6"/>
    <w:rsid w:val="00A013E8"/>
    <w:rsid w:val="00A017EE"/>
    <w:rsid w:val="00A034F7"/>
    <w:rsid w:val="00A15161"/>
    <w:rsid w:val="00A25D1C"/>
    <w:rsid w:val="00A270EF"/>
    <w:rsid w:val="00A273FF"/>
    <w:rsid w:val="00A34570"/>
    <w:rsid w:val="00A35265"/>
    <w:rsid w:val="00A35C95"/>
    <w:rsid w:val="00A42583"/>
    <w:rsid w:val="00A42A9E"/>
    <w:rsid w:val="00A43973"/>
    <w:rsid w:val="00A43FFE"/>
    <w:rsid w:val="00A44392"/>
    <w:rsid w:val="00A5174B"/>
    <w:rsid w:val="00A55E15"/>
    <w:rsid w:val="00A56ED6"/>
    <w:rsid w:val="00A6462F"/>
    <w:rsid w:val="00A67AC7"/>
    <w:rsid w:val="00A77720"/>
    <w:rsid w:val="00A77CC0"/>
    <w:rsid w:val="00A80796"/>
    <w:rsid w:val="00A81BA8"/>
    <w:rsid w:val="00A81C06"/>
    <w:rsid w:val="00A9150A"/>
    <w:rsid w:val="00A9326A"/>
    <w:rsid w:val="00A93B94"/>
    <w:rsid w:val="00A95B99"/>
    <w:rsid w:val="00AA2C15"/>
    <w:rsid w:val="00AA2D87"/>
    <w:rsid w:val="00AA4C9F"/>
    <w:rsid w:val="00AC2546"/>
    <w:rsid w:val="00AC4B32"/>
    <w:rsid w:val="00AD2419"/>
    <w:rsid w:val="00AD3F59"/>
    <w:rsid w:val="00AD431C"/>
    <w:rsid w:val="00AD507D"/>
    <w:rsid w:val="00AD5A72"/>
    <w:rsid w:val="00AE07DC"/>
    <w:rsid w:val="00AE133F"/>
    <w:rsid w:val="00AE31C0"/>
    <w:rsid w:val="00AF4952"/>
    <w:rsid w:val="00AF59B0"/>
    <w:rsid w:val="00AF7B28"/>
    <w:rsid w:val="00B10D3B"/>
    <w:rsid w:val="00B11B10"/>
    <w:rsid w:val="00B1210D"/>
    <w:rsid w:val="00B1397C"/>
    <w:rsid w:val="00B13C73"/>
    <w:rsid w:val="00B175B8"/>
    <w:rsid w:val="00B178B9"/>
    <w:rsid w:val="00B21DAC"/>
    <w:rsid w:val="00B24731"/>
    <w:rsid w:val="00B31194"/>
    <w:rsid w:val="00B3250B"/>
    <w:rsid w:val="00B367BE"/>
    <w:rsid w:val="00B36A47"/>
    <w:rsid w:val="00B3778D"/>
    <w:rsid w:val="00B51CE7"/>
    <w:rsid w:val="00B62D9C"/>
    <w:rsid w:val="00B77D44"/>
    <w:rsid w:val="00B80BFB"/>
    <w:rsid w:val="00B851C4"/>
    <w:rsid w:val="00B86C09"/>
    <w:rsid w:val="00B90B22"/>
    <w:rsid w:val="00B94FB4"/>
    <w:rsid w:val="00B968EB"/>
    <w:rsid w:val="00B96CBB"/>
    <w:rsid w:val="00B97420"/>
    <w:rsid w:val="00BA0117"/>
    <w:rsid w:val="00BA5BA3"/>
    <w:rsid w:val="00BB614C"/>
    <w:rsid w:val="00BC2105"/>
    <w:rsid w:val="00BC3DFF"/>
    <w:rsid w:val="00BC3E63"/>
    <w:rsid w:val="00BD1524"/>
    <w:rsid w:val="00BE3F31"/>
    <w:rsid w:val="00BF3233"/>
    <w:rsid w:val="00BF575D"/>
    <w:rsid w:val="00C0686B"/>
    <w:rsid w:val="00C135F6"/>
    <w:rsid w:val="00C20EA7"/>
    <w:rsid w:val="00C22B66"/>
    <w:rsid w:val="00C345CB"/>
    <w:rsid w:val="00C40498"/>
    <w:rsid w:val="00C448AF"/>
    <w:rsid w:val="00C50F89"/>
    <w:rsid w:val="00C5255C"/>
    <w:rsid w:val="00C5732F"/>
    <w:rsid w:val="00C8430F"/>
    <w:rsid w:val="00C86A53"/>
    <w:rsid w:val="00CA0BF4"/>
    <w:rsid w:val="00CA109A"/>
    <w:rsid w:val="00CA3CEF"/>
    <w:rsid w:val="00CB3A39"/>
    <w:rsid w:val="00CB64DE"/>
    <w:rsid w:val="00CB73F0"/>
    <w:rsid w:val="00CB7E60"/>
    <w:rsid w:val="00CC0870"/>
    <w:rsid w:val="00CC28C7"/>
    <w:rsid w:val="00CC6D60"/>
    <w:rsid w:val="00CD0114"/>
    <w:rsid w:val="00CD175A"/>
    <w:rsid w:val="00CD5326"/>
    <w:rsid w:val="00CE03BC"/>
    <w:rsid w:val="00CF1965"/>
    <w:rsid w:val="00CF22AE"/>
    <w:rsid w:val="00CF2789"/>
    <w:rsid w:val="00CF6ACC"/>
    <w:rsid w:val="00CF74B4"/>
    <w:rsid w:val="00D0144F"/>
    <w:rsid w:val="00D0528B"/>
    <w:rsid w:val="00D106CE"/>
    <w:rsid w:val="00D227AA"/>
    <w:rsid w:val="00D24A14"/>
    <w:rsid w:val="00D255EB"/>
    <w:rsid w:val="00D277DF"/>
    <w:rsid w:val="00D278D5"/>
    <w:rsid w:val="00D311C7"/>
    <w:rsid w:val="00D31BF1"/>
    <w:rsid w:val="00D3232B"/>
    <w:rsid w:val="00D33039"/>
    <w:rsid w:val="00D34CD4"/>
    <w:rsid w:val="00D356F8"/>
    <w:rsid w:val="00D36B7A"/>
    <w:rsid w:val="00D44BD6"/>
    <w:rsid w:val="00D53FBD"/>
    <w:rsid w:val="00D57932"/>
    <w:rsid w:val="00D6458D"/>
    <w:rsid w:val="00D64EB5"/>
    <w:rsid w:val="00D7086D"/>
    <w:rsid w:val="00D72B83"/>
    <w:rsid w:val="00D766C4"/>
    <w:rsid w:val="00D974C7"/>
    <w:rsid w:val="00DA0041"/>
    <w:rsid w:val="00DA48E6"/>
    <w:rsid w:val="00DA6978"/>
    <w:rsid w:val="00DB11A9"/>
    <w:rsid w:val="00DB4D9D"/>
    <w:rsid w:val="00DB6712"/>
    <w:rsid w:val="00DC03C8"/>
    <w:rsid w:val="00DC1514"/>
    <w:rsid w:val="00DC3164"/>
    <w:rsid w:val="00DC4536"/>
    <w:rsid w:val="00DC7E83"/>
    <w:rsid w:val="00DD0497"/>
    <w:rsid w:val="00DD2748"/>
    <w:rsid w:val="00DD4090"/>
    <w:rsid w:val="00DD70BB"/>
    <w:rsid w:val="00DE39A5"/>
    <w:rsid w:val="00DF316C"/>
    <w:rsid w:val="00DF5206"/>
    <w:rsid w:val="00E018F0"/>
    <w:rsid w:val="00E03BD5"/>
    <w:rsid w:val="00E16D36"/>
    <w:rsid w:val="00E175B1"/>
    <w:rsid w:val="00E214AD"/>
    <w:rsid w:val="00E24038"/>
    <w:rsid w:val="00E27BFF"/>
    <w:rsid w:val="00E31EFE"/>
    <w:rsid w:val="00E327AE"/>
    <w:rsid w:val="00E51B40"/>
    <w:rsid w:val="00E52674"/>
    <w:rsid w:val="00E527BF"/>
    <w:rsid w:val="00E55C24"/>
    <w:rsid w:val="00E56CD2"/>
    <w:rsid w:val="00E616AD"/>
    <w:rsid w:val="00E64E0D"/>
    <w:rsid w:val="00E67E34"/>
    <w:rsid w:val="00E67E3E"/>
    <w:rsid w:val="00E709AA"/>
    <w:rsid w:val="00E722DD"/>
    <w:rsid w:val="00E93049"/>
    <w:rsid w:val="00E94E12"/>
    <w:rsid w:val="00EA656B"/>
    <w:rsid w:val="00EB4835"/>
    <w:rsid w:val="00ED018F"/>
    <w:rsid w:val="00ED3D97"/>
    <w:rsid w:val="00ED5D15"/>
    <w:rsid w:val="00ED706E"/>
    <w:rsid w:val="00EE09F0"/>
    <w:rsid w:val="00EE19F1"/>
    <w:rsid w:val="00EE1E01"/>
    <w:rsid w:val="00EE2AD6"/>
    <w:rsid w:val="00EE7300"/>
    <w:rsid w:val="00EF6EAD"/>
    <w:rsid w:val="00F03F27"/>
    <w:rsid w:val="00F07EF8"/>
    <w:rsid w:val="00F11991"/>
    <w:rsid w:val="00F21376"/>
    <w:rsid w:val="00F21AFA"/>
    <w:rsid w:val="00F231E3"/>
    <w:rsid w:val="00F256F2"/>
    <w:rsid w:val="00F33081"/>
    <w:rsid w:val="00F33CB8"/>
    <w:rsid w:val="00F41D94"/>
    <w:rsid w:val="00F46D22"/>
    <w:rsid w:val="00F51E6B"/>
    <w:rsid w:val="00F55DBC"/>
    <w:rsid w:val="00F57E4F"/>
    <w:rsid w:val="00F60583"/>
    <w:rsid w:val="00F6146A"/>
    <w:rsid w:val="00F6308F"/>
    <w:rsid w:val="00F64AB3"/>
    <w:rsid w:val="00F65B13"/>
    <w:rsid w:val="00F67F18"/>
    <w:rsid w:val="00F72537"/>
    <w:rsid w:val="00F760BF"/>
    <w:rsid w:val="00F772A5"/>
    <w:rsid w:val="00F90BF6"/>
    <w:rsid w:val="00FA4496"/>
    <w:rsid w:val="00FA78CE"/>
    <w:rsid w:val="00FB1484"/>
    <w:rsid w:val="00FB3E45"/>
    <w:rsid w:val="00FB6F4F"/>
    <w:rsid w:val="00FB722D"/>
    <w:rsid w:val="00FC63E0"/>
    <w:rsid w:val="00FD1358"/>
    <w:rsid w:val="00FD236C"/>
    <w:rsid w:val="00FD509D"/>
    <w:rsid w:val="00FD53EF"/>
    <w:rsid w:val="00FD65D6"/>
    <w:rsid w:val="00FE12DD"/>
    <w:rsid w:val="00FE3179"/>
    <w:rsid w:val="00FE43BA"/>
    <w:rsid w:val="00FE7165"/>
    <w:rsid w:val="00FF05B6"/>
    <w:rsid w:val="00FF5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7FE5EF51-C5AC-4F49-9C40-FF0C46DA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300"/>
    <w:pPr>
      <w:spacing w:before="160" w:after="160" w:line="300" w:lineRule="atLeast"/>
      <w:jc w:val="both"/>
    </w:pPr>
    <w:rPr>
      <w:rFonts w:ascii="Arial" w:hAnsi="Arial"/>
      <w:lang w:eastAsia="en-US"/>
    </w:rPr>
  </w:style>
  <w:style w:type="paragraph" w:styleId="Heading1">
    <w:name w:val="heading 1"/>
    <w:aliases w:val="Heading 1a"/>
    <w:basedOn w:val="BodyText"/>
    <w:next w:val="BodyText"/>
    <w:qFormat/>
    <w:rsid w:val="00EA656B"/>
    <w:pPr>
      <w:keepNext/>
      <w:numPr>
        <w:ilvl w:val="0"/>
      </w:numPr>
      <w:spacing w:before="240" w:after="240"/>
      <w:outlineLvl w:val="0"/>
    </w:pPr>
    <w:rPr>
      <w:b/>
      <w:sz w:val="28"/>
    </w:rPr>
  </w:style>
  <w:style w:type="paragraph" w:styleId="Heading2">
    <w:name w:val="heading 2"/>
    <w:basedOn w:val="Heading1"/>
    <w:next w:val="BodyText2"/>
    <w:qFormat/>
    <w:rsid w:val="009612B8"/>
    <w:pPr>
      <w:outlineLvl w:val="1"/>
    </w:pPr>
  </w:style>
  <w:style w:type="paragraph" w:styleId="Heading3">
    <w:name w:val="heading 3"/>
    <w:basedOn w:val="NoNumber"/>
    <w:next w:val="BodyText"/>
    <w:qFormat/>
    <w:rsid w:val="009612B8"/>
    <w:pPr>
      <w:ind w:left="0"/>
      <w:outlineLvl w:val="2"/>
    </w:pPr>
    <w:rPr>
      <w:b/>
    </w:rPr>
  </w:style>
  <w:style w:type="paragraph" w:styleId="Heading4">
    <w:name w:val="heading 4"/>
    <w:basedOn w:val="NoNumber"/>
    <w:next w:val="BodyText"/>
    <w:qFormat/>
    <w:rsid w:val="009612B8"/>
    <w:pPr>
      <w:ind w:left="0"/>
      <w:jc w:val="center"/>
      <w:outlineLvl w:val="3"/>
    </w:pPr>
    <w:rPr>
      <w:b/>
    </w:rPr>
  </w:style>
  <w:style w:type="paragraph" w:styleId="Heading5">
    <w:name w:val="heading 5"/>
    <w:basedOn w:val="Normal"/>
    <w:next w:val="Normal"/>
    <w:qFormat/>
    <w:rsid w:val="00814C36"/>
    <w:pPr>
      <w:keepNext/>
      <w:numPr>
        <w:ilvl w:val="4"/>
        <w:numId w:val="3"/>
      </w:numPr>
      <w:outlineLvl w:val="4"/>
    </w:pPr>
    <w:rPr>
      <w:b/>
      <w:u w:val="single"/>
    </w:rPr>
  </w:style>
  <w:style w:type="paragraph" w:styleId="Heading6">
    <w:name w:val="heading 6"/>
    <w:basedOn w:val="Normal"/>
    <w:next w:val="Normal"/>
    <w:qFormat/>
    <w:rsid w:val="00814C36"/>
    <w:pPr>
      <w:keepNext/>
      <w:numPr>
        <w:ilvl w:val="5"/>
        <w:numId w:val="3"/>
      </w:numPr>
      <w:outlineLvl w:val="5"/>
    </w:pPr>
    <w:rPr>
      <w:b/>
    </w:rPr>
  </w:style>
  <w:style w:type="paragraph" w:styleId="Heading7">
    <w:name w:val="heading 7"/>
    <w:basedOn w:val="Normal"/>
    <w:next w:val="Normal"/>
    <w:qFormat/>
    <w:rsid w:val="00814C36"/>
    <w:pPr>
      <w:numPr>
        <w:ilvl w:val="6"/>
        <w:numId w:val="3"/>
      </w:numPr>
      <w:spacing w:before="240" w:after="60"/>
      <w:outlineLvl w:val="6"/>
    </w:pPr>
  </w:style>
  <w:style w:type="paragraph" w:styleId="Heading8">
    <w:name w:val="heading 8"/>
    <w:basedOn w:val="Normal"/>
    <w:next w:val="Normal"/>
    <w:qFormat/>
    <w:rsid w:val="00814C36"/>
    <w:pPr>
      <w:numPr>
        <w:ilvl w:val="7"/>
        <w:numId w:val="3"/>
      </w:numPr>
      <w:spacing w:before="240" w:after="60"/>
      <w:outlineLvl w:val="7"/>
    </w:pPr>
    <w:rPr>
      <w:i/>
    </w:rPr>
  </w:style>
  <w:style w:type="paragraph" w:styleId="Heading9">
    <w:name w:val="heading 9"/>
    <w:basedOn w:val="Normal"/>
    <w:next w:val="Normal"/>
    <w:qFormat/>
    <w:rsid w:val="00814C36"/>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rtMainHeading">
    <w:name w:val="Chart Main Heading"/>
    <w:basedOn w:val="SingleParagraph"/>
    <w:next w:val="Normal"/>
    <w:rsid w:val="00CA109A"/>
    <w:pPr>
      <w:jc w:val="center"/>
    </w:pPr>
    <w:rPr>
      <w:b/>
    </w:rPr>
  </w:style>
  <w:style w:type="paragraph" w:customStyle="1" w:styleId="ChartSecondHeading">
    <w:name w:val="Chart Second Heading"/>
    <w:basedOn w:val="SingleParagraph"/>
    <w:next w:val="Normal"/>
    <w:rsid w:val="00CA109A"/>
    <w:pPr>
      <w:jc w:val="center"/>
    </w:pPr>
  </w:style>
  <w:style w:type="paragraph" w:customStyle="1" w:styleId="TableMainHeading">
    <w:name w:val="Table Main Heading"/>
    <w:basedOn w:val="ChartMainHeading"/>
    <w:next w:val="Normal"/>
    <w:rsid w:val="00AE31C0"/>
    <w:pPr>
      <w:jc w:val="left"/>
    </w:pPr>
  </w:style>
  <w:style w:type="paragraph" w:styleId="Header">
    <w:name w:val="header"/>
    <w:basedOn w:val="Normal"/>
    <w:rsid w:val="005D3941"/>
    <w:pPr>
      <w:tabs>
        <w:tab w:val="center" w:pos="4153"/>
        <w:tab w:val="right" w:pos="8306"/>
      </w:tabs>
    </w:pPr>
    <w:rPr>
      <w:b/>
    </w:rPr>
  </w:style>
  <w:style w:type="paragraph" w:styleId="Footer">
    <w:name w:val="footer"/>
    <w:basedOn w:val="Normal"/>
    <w:rsid w:val="005D3941"/>
    <w:pPr>
      <w:tabs>
        <w:tab w:val="center" w:pos="4153"/>
        <w:tab w:val="right" w:pos="8306"/>
      </w:tabs>
    </w:pPr>
  </w:style>
  <w:style w:type="paragraph" w:styleId="BodyText">
    <w:name w:val="Body Text"/>
    <w:basedOn w:val="Normal"/>
    <w:link w:val="BodyTextChar"/>
    <w:rsid w:val="00EA656B"/>
    <w:pPr>
      <w:numPr>
        <w:ilvl w:val="2"/>
        <w:numId w:val="4"/>
      </w:numPr>
    </w:pPr>
  </w:style>
  <w:style w:type="paragraph" w:customStyle="1" w:styleId="Bullet">
    <w:name w:val="Bullet"/>
    <w:basedOn w:val="Normal"/>
    <w:rsid w:val="005F3F4D"/>
    <w:pPr>
      <w:numPr>
        <w:numId w:val="1"/>
      </w:numPr>
    </w:pPr>
  </w:style>
  <w:style w:type="paragraph" w:styleId="Caption">
    <w:name w:val="caption"/>
    <w:basedOn w:val="Normal"/>
    <w:next w:val="BodyText"/>
    <w:qFormat/>
    <w:rsid w:val="005D3941"/>
    <w:pPr>
      <w:keepNext/>
    </w:pPr>
    <w:rPr>
      <w:u w:val="single"/>
    </w:rPr>
  </w:style>
  <w:style w:type="character" w:styleId="FootnoteReference">
    <w:name w:val="footnote reference"/>
    <w:basedOn w:val="DefaultParagraphFont"/>
    <w:semiHidden/>
    <w:rsid w:val="005D3941"/>
    <w:rPr>
      <w:vertAlign w:val="superscript"/>
    </w:rPr>
  </w:style>
  <w:style w:type="paragraph" w:styleId="FootnoteText">
    <w:name w:val="footnote text"/>
    <w:basedOn w:val="Normal"/>
    <w:semiHidden/>
    <w:rsid w:val="005D3941"/>
    <w:pPr>
      <w:spacing w:after="240"/>
    </w:pPr>
    <w:rPr>
      <w:sz w:val="18"/>
    </w:rPr>
  </w:style>
  <w:style w:type="character" w:styleId="Hyperlink">
    <w:name w:val="Hyperlink"/>
    <w:basedOn w:val="DefaultParagraphFont"/>
    <w:uiPriority w:val="99"/>
    <w:rsid w:val="00EE7300"/>
    <w:rPr>
      <w:rFonts w:ascii="Arial" w:hAnsi="Arial"/>
      <w:color w:val="0000FF"/>
      <w:sz w:val="20"/>
      <w:szCs w:val="20"/>
      <w:u w:val="single"/>
    </w:rPr>
  </w:style>
  <w:style w:type="character" w:styleId="PageNumber">
    <w:name w:val="page number"/>
    <w:basedOn w:val="DefaultParagraphFont"/>
    <w:rsid w:val="005D3941"/>
  </w:style>
  <w:style w:type="paragraph" w:customStyle="1" w:styleId="Heading11">
    <w:name w:val="Heading 11"/>
    <w:basedOn w:val="Normal"/>
    <w:rsid w:val="00951515"/>
    <w:pPr>
      <w:spacing w:before="4791" w:after="720"/>
      <w:jc w:val="center"/>
    </w:pPr>
    <w:rPr>
      <w:b/>
      <w:caps/>
      <w:sz w:val="32"/>
    </w:rPr>
  </w:style>
  <w:style w:type="paragraph" w:customStyle="1" w:styleId="signaturename">
    <w:name w:val="signature name"/>
    <w:basedOn w:val="Normal"/>
    <w:next w:val="Normal"/>
    <w:rsid w:val="005D3941"/>
    <w:pPr>
      <w:spacing w:before="1200" w:after="0"/>
    </w:pPr>
  </w:style>
  <w:style w:type="paragraph" w:customStyle="1" w:styleId="signaturetitle">
    <w:name w:val="signature title"/>
    <w:basedOn w:val="Normal"/>
    <w:next w:val="Normal"/>
    <w:rsid w:val="00E31EFE"/>
    <w:pPr>
      <w:spacing w:before="240" w:after="0"/>
    </w:pPr>
  </w:style>
  <w:style w:type="paragraph" w:customStyle="1" w:styleId="table">
    <w:name w:val="table"/>
    <w:basedOn w:val="Normal"/>
    <w:rsid w:val="005D3941"/>
    <w:pPr>
      <w:spacing w:before="100"/>
      <w:ind w:left="113"/>
    </w:pPr>
  </w:style>
  <w:style w:type="paragraph" w:customStyle="1" w:styleId="TableofContentsTitle">
    <w:name w:val="Table of Contents Title"/>
    <w:basedOn w:val="Normal"/>
    <w:next w:val="Normal"/>
    <w:rsid w:val="005D3941"/>
    <w:rPr>
      <w:b/>
      <w:caps/>
      <w:sz w:val="28"/>
    </w:rPr>
  </w:style>
  <w:style w:type="paragraph" w:styleId="TableofFigures">
    <w:name w:val="table of figures"/>
    <w:basedOn w:val="Normal"/>
    <w:next w:val="Normal"/>
    <w:semiHidden/>
    <w:rsid w:val="005D3941"/>
    <w:pPr>
      <w:tabs>
        <w:tab w:val="left" w:pos="851"/>
        <w:tab w:val="right" w:pos="8307"/>
      </w:tabs>
      <w:ind w:left="851" w:right="567" w:hanging="851"/>
    </w:pPr>
  </w:style>
  <w:style w:type="paragraph" w:customStyle="1" w:styleId="TableText">
    <w:name w:val="Table Text"/>
    <w:basedOn w:val="BodyText"/>
    <w:rsid w:val="001F40FE"/>
    <w:pPr>
      <w:numPr>
        <w:ilvl w:val="0"/>
        <w:numId w:val="0"/>
      </w:numPr>
      <w:spacing w:before="60" w:after="60"/>
    </w:pPr>
  </w:style>
  <w:style w:type="paragraph" w:styleId="TOC1">
    <w:name w:val="toc 1"/>
    <w:basedOn w:val="Normal"/>
    <w:next w:val="Normal"/>
    <w:uiPriority w:val="39"/>
    <w:rsid w:val="00AA4C9F"/>
    <w:pPr>
      <w:tabs>
        <w:tab w:val="left" w:pos="567"/>
        <w:tab w:val="right" w:leader="dot" w:pos="8301"/>
      </w:tabs>
      <w:spacing w:before="360" w:after="0"/>
    </w:pPr>
    <w:rPr>
      <w:rFonts w:cs="Arial"/>
      <w:b/>
      <w:bCs/>
      <w:caps/>
      <w:sz w:val="24"/>
      <w:szCs w:val="24"/>
    </w:rPr>
  </w:style>
  <w:style w:type="paragraph" w:styleId="TOC2">
    <w:name w:val="toc 2"/>
    <w:basedOn w:val="Normal"/>
    <w:next w:val="Normal"/>
    <w:semiHidden/>
    <w:rsid w:val="005D3941"/>
    <w:pPr>
      <w:spacing w:before="240" w:after="0"/>
    </w:pPr>
    <w:rPr>
      <w:rFonts w:ascii="Times New Roman" w:hAnsi="Times New Roman"/>
      <w:b/>
      <w:bCs/>
    </w:rPr>
  </w:style>
  <w:style w:type="paragraph" w:styleId="TOC3">
    <w:name w:val="toc 3"/>
    <w:basedOn w:val="Normal"/>
    <w:next w:val="Normal"/>
    <w:semiHidden/>
    <w:rsid w:val="005D3941"/>
    <w:pPr>
      <w:spacing w:before="0" w:after="0"/>
      <w:ind w:left="220"/>
    </w:pPr>
    <w:rPr>
      <w:rFonts w:ascii="Times New Roman" w:hAnsi="Times New Roman"/>
    </w:rPr>
  </w:style>
  <w:style w:type="paragraph" w:styleId="TOC4">
    <w:name w:val="toc 4"/>
    <w:basedOn w:val="Normal"/>
    <w:next w:val="Normal"/>
    <w:semiHidden/>
    <w:rsid w:val="005D3941"/>
    <w:pPr>
      <w:spacing w:before="0" w:after="0"/>
      <w:ind w:left="440"/>
    </w:pPr>
    <w:rPr>
      <w:rFonts w:ascii="Times New Roman" w:hAnsi="Times New Roman"/>
    </w:rPr>
  </w:style>
  <w:style w:type="paragraph" w:styleId="TOC5">
    <w:name w:val="toc 5"/>
    <w:basedOn w:val="Normal"/>
    <w:next w:val="Normal"/>
    <w:semiHidden/>
    <w:rsid w:val="005D3941"/>
    <w:pPr>
      <w:spacing w:before="0" w:after="0"/>
      <w:ind w:left="660"/>
    </w:pPr>
    <w:rPr>
      <w:rFonts w:ascii="Times New Roman" w:hAnsi="Times New Roman"/>
    </w:rPr>
  </w:style>
  <w:style w:type="paragraph" w:styleId="TOC6">
    <w:name w:val="toc 6"/>
    <w:basedOn w:val="Normal"/>
    <w:next w:val="Normal"/>
    <w:semiHidden/>
    <w:rsid w:val="005D3941"/>
    <w:pPr>
      <w:spacing w:before="0" w:after="0"/>
      <w:ind w:left="880"/>
    </w:pPr>
    <w:rPr>
      <w:rFonts w:ascii="Times New Roman" w:hAnsi="Times New Roman"/>
    </w:rPr>
  </w:style>
  <w:style w:type="paragraph" w:styleId="TOC7">
    <w:name w:val="toc 7"/>
    <w:basedOn w:val="Normal"/>
    <w:next w:val="Normal"/>
    <w:semiHidden/>
    <w:rsid w:val="005D3941"/>
    <w:pPr>
      <w:spacing w:before="0" w:after="0"/>
      <w:ind w:left="1100"/>
    </w:pPr>
    <w:rPr>
      <w:rFonts w:ascii="Times New Roman" w:hAnsi="Times New Roman"/>
    </w:rPr>
  </w:style>
  <w:style w:type="paragraph" w:styleId="TOC8">
    <w:name w:val="toc 8"/>
    <w:basedOn w:val="Normal"/>
    <w:next w:val="Normal"/>
    <w:semiHidden/>
    <w:rsid w:val="005D3941"/>
    <w:pPr>
      <w:spacing w:before="0" w:after="0"/>
      <w:ind w:left="1320"/>
    </w:pPr>
    <w:rPr>
      <w:rFonts w:ascii="Times New Roman" w:hAnsi="Times New Roman"/>
    </w:rPr>
  </w:style>
  <w:style w:type="paragraph" w:styleId="TOC9">
    <w:name w:val="toc 9"/>
    <w:basedOn w:val="Normal"/>
    <w:next w:val="Normal"/>
    <w:semiHidden/>
    <w:rsid w:val="005D3941"/>
    <w:pPr>
      <w:spacing w:before="0" w:after="0"/>
      <w:ind w:left="1540"/>
    </w:pPr>
    <w:rPr>
      <w:rFonts w:ascii="Times New Roman" w:hAnsi="Times New Roman"/>
    </w:rPr>
  </w:style>
  <w:style w:type="paragraph" w:customStyle="1" w:styleId="Dash">
    <w:name w:val="Dash"/>
    <w:basedOn w:val="Normal"/>
    <w:rsid w:val="005F3F4D"/>
    <w:pPr>
      <w:numPr>
        <w:ilvl w:val="1"/>
        <w:numId w:val="1"/>
      </w:numPr>
    </w:pPr>
  </w:style>
  <w:style w:type="paragraph" w:customStyle="1" w:styleId="DoubleDot">
    <w:name w:val="Double Dot"/>
    <w:basedOn w:val="Normal"/>
    <w:rsid w:val="005F3F4D"/>
    <w:pPr>
      <w:numPr>
        <w:ilvl w:val="2"/>
        <w:numId w:val="1"/>
      </w:numPr>
    </w:pPr>
  </w:style>
  <w:style w:type="table" w:styleId="TableGrid">
    <w:name w:val="Table Grid"/>
    <w:basedOn w:val="TableNormal"/>
    <w:uiPriority w:val="59"/>
    <w:rsid w:val="00D72B83"/>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Table">
    <w:name w:val="Std Table"/>
    <w:basedOn w:val="TableNormal"/>
    <w:rsid w:val="00D72B83"/>
    <w:pPr>
      <w:spacing w:before="120" w:after="120"/>
    </w:pPr>
    <w:rPr>
      <w:rFonts w:ascii="Trebuchet MS" w:hAnsi="Trebuchet MS"/>
    </w:rPr>
    <w:tblPr>
      <w:tblBorders>
        <w:top w:val="double" w:sz="4" w:space="0" w:color="auto"/>
        <w:left w:val="double" w:sz="4" w:space="0" w:color="auto"/>
        <w:bottom w:val="double" w:sz="4" w:space="0" w:color="auto"/>
        <w:right w:val="double" w:sz="4" w:space="0" w:color="auto"/>
      </w:tblBorders>
    </w:tblPr>
    <w:tblStylePr w:type="firstRow">
      <w:pPr>
        <w:wordWrap/>
        <w:spacing w:beforeLines="0"/>
        <w:jc w:val="center"/>
      </w:pPr>
      <w:rPr>
        <w:rFonts w:ascii="Trebuchet MS" w:hAnsi="Trebuchet MS"/>
        <w:b/>
        <w:i w:val="0"/>
        <w:sz w:val="24"/>
        <w:szCs w:val="24"/>
      </w:rPr>
    </w:tblStylePr>
  </w:style>
  <w:style w:type="paragraph" w:customStyle="1" w:styleId="NoNumber">
    <w:name w:val="No Number"/>
    <w:basedOn w:val="Normal"/>
    <w:rsid w:val="00D72B83"/>
    <w:pPr>
      <w:ind w:left="851"/>
    </w:pPr>
  </w:style>
  <w:style w:type="paragraph" w:customStyle="1" w:styleId="Appendix">
    <w:name w:val="Appendix"/>
    <w:basedOn w:val="Normal"/>
    <w:next w:val="BodyText"/>
    <w:rsid w:val="000A2DB0"/>
    <w:rPr>
      <w:b/>
      <w:sz w:val="28"/>
      <w:szCs w:val="28"/>
    </w:rPr>
  </w:style>
  <w:style w:type="paragraph" w:styleId="BodyText2">
    <w:name w:val="Body Text 2"/>
    <w:basedOn w:val="Normal"/>
    <w:rsid w:val="00EA656B"/>
    <w:pPr>
      <w:numPr>
        <w:ilvl w:val="3"/>
        <w:numId w:val="4"/>
      </w:numPr>
    </w:pPr>
  </w:style>
  <w:style w:type="paragraph" w:customStyle="1" w:styleId="NumberedParagraph">
    <w:name w:val="Numbered Paragraph"/>
    <w:basedOn w:val="Normal"/>
    <w:rsid w:val="005F2146"/>
    <w:pPr>
      <w:numPr>
        <w:numId w:val="2"/>
      </w:numPr>
      <w:tabs>
        <w:tab w:val="right" w:pos="9020"/>
      </w:tabs>
      <w:jc w:val="right"/>
    </w:pPr>
  </w:style>
  <w:style w:type="paragraph" w:styleId="BalloonText">
    <w:name w:val="Balloon Text"/>
    <w:basedOn w:val="Normal"/>
    <w:link w:val="BalloonTextChar"/>
    <w:rsid w:val="00F3308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3081"/>
    <w:rPr>
      <w:rFonts w:ascii="Tahoma" w:hAnsi="Tahoma" w:cs="Tahoma"/>
      <w:sz w:val="16"/>
      <w:szCs w:val="16"/>
      <w:lang w:eastAsia="en-US"/>
    </w:rPr>
  </w:style>
  <w:style w:type="paragraph" w:customStyle="1" w:styleId="SinglePara">
    <w:name w:val="Single Para"/>
    <w:basedOn w:val="Normal"/>
    <w:rsid w:val="002F7273"/>
    <w:pPr>
      <w:spacing w:before="0" w:after="0"/>
      <w:jc w:val="left"/>
    </w:pPr>
  </w:style>
  <w:style w:type="character" w:customStyle="1" w:styleId="BodyTextChar">
    <w:name w:val="Body Text Char"/>
    <w:basedOn w:val="DefaultParagraphFont"/>
    <w:link w:val="BodyText"/>
    <w:rsid w:val="005E10D9"/>
    <w:rPr>
      <w:rFonts w:ascii="Arial" w:hAnsi="Arial"/>
      <w:lang w:eastAsia="en-US"/>
    </w:rPr>
  </w:style>
  <w:style w:type="paragraph" w:customStyle="1" w:styleId="OutlineNumbered1">
    <w:name w:val="Outline Numbered 1"/>
    <w:basedOn w:val="Normal"/>
    <w:link w:val="OutlineNumbered1Char"/>
    <w:rsid w:val="00CC0870"/>
    <w:pPr>
      <w:numPr>
        <w:numId w:val="12"/>
      </w:numPr>
    </w:pPr>
  </w:style>
  <w:style w:type="character" w:customStyle="1" w:styleId="OutlineNumbered1Char">
    <w:name w:val="Outline Numbered 1 Char"/>
    <w:basedOn w:val="BodyTextChar"/>
    <w:link w:val="OutlineNumbered1"/>
    <w:rsid w:val="00CC0870"/>
    <w:rPr>
      <w:rFonts w:ascii="Arial" w:hAnsi="Arial"/>
      <w:lang w:eastAsia="en-US"/>
    </w:rPr>
  </w:style>
  <w:style w:type="paragraph" w:customStyle="1" w:styleId="OutlineNumbered2">
    <w:name w:val="Outline Numbered 2"/>
    <w:basedOn w:val="Normal"/>
    <w:link w:val="OutlineNumbered2Char"/>
    <w:rsid w:val="00CC0870"/>
    <w:pPr>
      <w:numPr>
        <w:ilvl w:val="1"/>
        <w:numId w:val="12"/>
      </w:numPr>
    </w:pPr>
    <w:rPr>
      <w:rFonts w:cs="Arial"/>
    </w:rPr>
  </w:style>
  <w:style w:type="character" w:customStyle="1" w:styleId="OutlineNumbered2Char">
    <w:name w:val="Outline Numbered 2 Char"/>
    <w:basedOn w:val="BodyTextChar"/>
    <w:link w:val="OutlineNumbered2"/>
    <w:rsid w:val="00CC0870"/>
    <w:rPr>
      <w:rFonts w:ascii="Arial" w:hAnsi="Arial" w:cs="Arial"/>
      <w:lang w:eastAsia="en-US"/>
    </w:rPr>
  </w:style>
  <w:style w:type="paragraph" w:customStyle="1" w:styleId="OutlineNumbered3">
    <w:name w:val="Outline Numbered 3"/>
    <w:basedOn w:val="Normal"/>
    <w:link w:val="OutlineNumbered3Char"/>
    <w:rsid w:val="00CC0870"/>
    <w:pPr>
      <w:numPr>
        <w:ilvl w:val="2"/>
        <w:numId w:val="12"/>
      </w:numPr>
    </w:pPr>
    <w:rPr>
      <w:rFonts w:cs="Arial"/>
    </w:rPr>
  </w:style>
  <w:style w:type="character" w:customStyle="1" w:styleId="OutlineNumbered3Char">
    <w:name w:val="Outline Numbered 3 Char"/>
    <w:basedOn w:val="BodyTextChar"/>
    <w:link w:val="OutlineNumbered3"/>
    <w:rsid w:val="00CC0870"/>
    <w:rPr>
      <w:rFonts w:ascii="Arial" w:hAnsi="Arial" w:cs="Arial"/>
      <w:lang w:eastAsia="en-US"/>
    </w:rPr>
  </w:style>
  <w:style w:type="paragraph" w:styleId="NormalIndent">
    <w:name w:val="Normal Indent"/>
    <w:basedOn w:val="Normal"/>
    <w:rsid w:val="003027E3"/>
    <w:pPr>
      <w:spacing w:before="0" w:after="320"/>
      <w:ind w:left="720"/>
      <w:jc w:val="left"/>
    </w:pPr>
  </w:style>
  <w:style w:type="paragraph" w:styleId="ListParagraph">
    <w:name w:val="List Paragraph"/>
    <w:basedOn w:val="Normal"/>
    <w:uiPriority w:val="34"/>
    <w:qFormat/>
    <w:rsid w:val="0038526C"/>
    <w:pPr>
      <w:ind w:left="720"/>
      <w:contextualSpacing/>
    </w:pPr>
  </w:style>
  <w:style w:type="paragraph" w:customStyle="1" w:styleId="TableTextLeft">
    <w:name w:val="Table Text Left"/>
    <w:basedOn w:val="Normal"/>
    <w:rsid w:val="00030F42"/>
    <w:pPr>
      <w:spacing w:before="40" w:after="40" w:line="240" w:lineRule="auto"/>
      <w:jc w:val="left"/>
    </w:pPr>
    <w:rPr>
      <w:color w:val="000000"/>
      <w:sz w:val="16"/>
      <w:lang w:eastAsia="en-AU"/>
    </w:rPr>
  </w:style>
  <w:style w:type="paragraph" w:customStyle="1" w:styleId="TableTextRight">
    <w:name w:val="Table Text Right"/>
    <w:basedOn w:val="Normal"/>
    <w:rsid w:val="00030F42"/>
    <w:pPr>
      <w:spacing w:before="40" w:after="40" w:line="240" w:lineRule="auto"/>
      <w:jc w:val="right"/>
    </w:pPr>
    <w:rPr>
      <w:color w:val="000000"/>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670">
      <w:bodyDiv w:val="1"/>
      <w:marLeft w:val="0"/>
      <w:marRight w:val="0"/>
      <w:marTop w:val="0"/>
      <w:marBottom w:val="0"/>
      <w:divBdr>
        <w:top w:val="none" w:sz="0" w:space="0" w:color="auto"/>
        <w:left w:val="none" w:sz="0" w:space="0" w:color="auto"/>
        <w:bottom w:val="none" w:sz="0" w:space="0" w:color="auto"/>
        <w:right w:val="none" w:sz="0" w:space="0" w:color="auto"/>
      </w:divBdr>
    </w:div>
    <w:div w:id="145903228">
      <w:bodyDiv w:val="1"/>
      <w:marLeft w:val="0"/>
      <w:marRight w:val="0"/>
      <w:marTop w:val="0"/>
      <w:marBottom w:val="0"/>
      <w:divBdr>
        <w:top w:val="none" w:sz="0" w:space="0" w:color="auto"/>
        <w:left w:val="none" w:sz="0" w:space="0" w:color="auto"/>
        <w:bottom w:val="none" w:sz="0" w:space="0" w:color="auto"/>
        <w:right w:val="none" w:sz="0" w:space="0" w:color="auto"/>
      </w:divBdr>
    </w:div>
    <w:div w:id="393969439">
      <w:bodyDiv w:val="1"/>
      <w:marLeft w:val="0"/>
      <w:marRight w:val="0"/>
      <w:marTop w:val="0"/>
      <w:marBottom w:val="0"/>
      <w:divBdr>
        <w:top w:val="none" w:sz="0" w:space="0" w:color="auto"/>
        <w:left w:val="none" w:sz="0" w:space="0" w:color="auto"/>
        <w:bottom w:val="none" w:sz="0" w:space="0" w:color="auto"/>
        <w:right w:val="none" w:sz="0" w:space="0" w:color="auto"/>
      </w:divBdr>
    </w:div>
    <w:div w:id="1641492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A%20G%20A\AGA%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5AFD-5553-4328-A67C-E1E66850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AGA Report.dotm</Template>
  <TotalTime>300</TotalTime>
  <Pages>20</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The Federal Magistrates Death and Invalidity Scheme</vt:lpstr>
    </vt:vector>
  </TitlesOfParts>
  <Company>The Treasury</Company>
  <LinksUpToDate>false</LinksUpToDate>
  <CharactersWithSpaces>27552</CharactersWithSpaces>
  <SharedDoc>false</SharedDoc>
  <HLinks>
    <vt:vector size="54" baseType="variant">
      <vt:variant>
        <vt:i4>1507385</vt:i4>
      </vt:variant>
      <vt:variant>
        <vt:i4>50</vt:i4>
      </vt:variant>
      <vt:variant>
        <vt:i4>0</vt:i4>
      </vt:variant>
      <vt:variant>
        <vt:i4>5</vt:i4>
      </vt:variant>
      <vt:variant>
        <vt:lpwstr/>
      </vt:variant>
      <vt:variant>
        <vt:lpwstr>_Toc328130132</vt:lpwstr>
      </vt:variant>
      <vt:variant>
        <vt:i4>1507385</vt:i4>
      </vt:variant>
      <vt:variant>
        <vt:i4>44</vt:i4>
      </vt:variant>
      <vt:variant>
        <vt:i4>0</vt:i4>
      </vt:variant>
      <vt:variant>
        <vt:i4>5</vt:i4>
      </vt:variant>
      <vt:variant>
        <vt:lpwstr/>
      </vt:variant>
      <vt:variant>
        <vt:lpwstr>_Toc328130131</vt:lpwstr>
      </vt:variant>
      <vt:variant>
        <vt:i4>1507385</vt:i4>
      </vt:variant>
      <vt:variant>
        <vt:i4>38</vt:i4>
      </vt:variant>
      <vt:variant>
        <vt:i4>0</vt:i4>
      </vt:variant>
      <vt:variant>
        <vt:i4>5</vt:i4>
      </vt:variant>
      <vt:variant>
        <vt:lpwstr/>
      </vt:variant>
      <vt:variant>
        <vt:lpwstr>_Toc328130130</vt:lpwstr>
      </vt:variant>
      <vt:variant>
        <vt:i4>1441849</vt:i4>
      </vt:variant>
      <vt:variant>
        <vt:i4>32</vt:i4>
      </vt:variant>
      <vt:variant>
        <vt:i4>0</vt:i4>
      </vt:variant>
      <vt:variant>
        <vt:i4>5</vt:i4>
      </vt:variant>
      <vt:variant>
        <vt:lpwstr/>
      </vt:variant>
      <vt:variant>
        <vt:lpwstr>_Toc328130129</vt:lpwstr>
      </vt:variant>
      <vt:variant>
        <vt:i4>1441849</vt:i4>
      </vt:variant>
      <vt:variant>
        <vt:i4>26</vt:i4>
      </vt:variant>
      <vt:variant>
        <vt:i4>0</vt:i4>
      </vt:variant>
      <vt:variant>
        <vt:i4>5</vt:i4>
      </vt:variant>
      <vt:variant>
        <vt:lpwstr/>
      </vt:variant>
      <vt:variant>
        <vt:lpwstr>_Toc328130128</vt:lpwstr>
      </vt:variant>
      <vt:variant>
        <vt:i4>1441849</vt:i4>
      </vt:variant>
      <vt:variant>
        <vt:i4>20</vt:i4>
      </vt:variant>
      <vt:variant>
        <vt:i4>0</vt:i4>
      </vt:variant>
      <vt:variant>
        <vt:i4>5</vt:i4>
      </vt:variant>
      <vt:variant>
        <vt:lpwstr/>
      </vt:variant>
      <vt:variant>
        <vt:lpwstr>_Toc328130127</vt:lpwstr>
      </vt:variant>
      <vt:variant>
        <vt:i4>1441849</vt:i4>
      </vt:variant>
      <vt:variant>
        <vt:i4>14</vt:i4>
      </vt:variant>
      <vt:variant>
        <vt:i4>0</vt:i4>
      </vt:variant>
      <vt:variant>
        <vt:i4>5</vt:i4>
      </vt:variant>
      <vt:variant>
        <vt:lpwstr/>
      </vt:variant>
      <vt:variant>
        <vt:lpwstr>_Toc328130126</vt:lpwstr>
      </vt:variant>
      <vt:variant>
        <vt:i4>1441849</vt:i4>
      </vt:variant>
      <vt:variant>
        <vt:i4>8</vt:i4>
      </vt:variant>
      <vt:variant>
        <vt:i4>0</vt:i4>
      </vt:variant>
      <vt:variant>
        <vt:i4>5</vt:i4>
      </vt:variant>
      <vt:variant>
        <vt:lpwstr/>
      </vt:variant>
      <vt:variant>
        <vt:lpwstr>_Toc328130125</vt:lpwstr>
      </vt:variant>
      <vt:variant>
        <vt:i4>1441849</vt:i4>
      </vt:variant>
      <vt:variant>
        <vt:i4>2</vt:i4>
      </vt:variant>
      <vt:variant>
        <vt:i4>0</vt:i4>
      </vt:variant>
      <vt:variant>
        <vt:i4>5</vt:i4>
      </vt:variant>
      <vt:variant>
        <vt:lpwstr/>
      </vt:variant>
      <vt:variant>
        <vt:lpwstr>_Toc328130124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Federal Magistrates Death and Invalidity Scheme</dc:title>
  <dc:creator>Department of Finance</dc:creator>
  <cp:lastModifiedBy>Truong, Minh</cp:lastModifiedBy>
  <cp:revision>64</cp:revision>
  <cp:lastPrinted>2016-07-21T01:34:00Z</cp:lastPrinted>
  <dcterms:created xsi:type="dcterms:W3CDTF">2016-06-05T23:41:00Z</dcterms:created>
  <dcterms:modified xsi:type="dcterms:W3CDTF">2016-07-21T01:35:00Z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