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EB" w:rsidRPr="00425046" w:rsidRDefault="007751EB" w:rsidP="008464D9">
      <w:pPr>
        <w:pStyle w:val="bluetext"/>
        <w:shd w:val="clear" w:color="auto" w:fill="FFFFFF"/>
        <w:spacing w:after="0"/>
        <w:ind w:left="426" w:hanging="426"/>
        <w:jc w:val="center"/>
        <w:outlineLvl w:val="1"/>
        <w:rPr>
          <w:b/>
          <w:kern w:val="36"/>
          <w:sz w:val="48"/>
          <w:szCs w:val="48"/>
        </w:rPr>
      </w:pPr>
    </w:p>
    <w:p w:rsidR="007751EB" w:rsidRPr="00425046" w:rsidRDefault="007751EB" w:rsidP="008464D9">
      <w:pPr>
        <w:pStyle w:val="bluetext"/>
        <w:shd w:val="clear" w:color="auto" w:fill="FFFFFF"/>
        <w:spacing w:after="0"/>
        <w:ind w:left="426" w:hanging="426"/>
        <w:jc w:val="center"/>
        <w:outlineLvl w:val="1"/>
        <w:rPr>
          <w:b/>
          <w:kern w:val="36"/>
          <w:sz w:val="48"/>
          <w:szCs w:val="48"/>
        </w:rPr>
      </w:pPr>
    </w:p>
    <w:p w:rsidR="007751EB" w:rsidRPr="00425046" w:rsidRDefault="007751EB" w:rsidP="008464D9">
      <w:pPr>
        <w:pStyle w:val="bluetext"/>
        <w:shd w:val="clear" w:color="auto" w:fill="FFFFFF"/>
        <w:spacing w:after="0"/>
        <w:ind w:left="426" w:hanging="426"/>
        <w:jc w:val="center"/>
        <w:outlineLvl w:val="1"/>
        <w:rPr>
          <w:b/>
          <w:kern w:val="36"/>
          <w:sz w:val="48"/>
          <w:szCs w:val="48"/>
        </w:rPr>
      </w:pPr>
    </w:p>
    <w:p w:rsidR="007751EB" w:rsidRPr="00425046" w:rsidRDefault="007751EB" w:rsidP="008464D9">
      <w:pPr>
        <w:pStyle w:val="bluetext"/>
        <w:shd w:val="clear" w:color="auto" w:fill="FFFFFF"/>
        <w:spacing w:after="0"/>
        <w:ind w:left="426" w:hanging="426"/>
        <w:jc w:val="center"/>
        <w:outlineLvl w:val="1"/>
        <w:rPr>
          <w:b/>
          <w:kern w:val="36"/>
          <w:sz w:val="48"/>
          <w:szCs w:val="48"/>
        </w:rPr>
      </w:pPr>
    </w:p>
    <w:p w:rsidR="006C78DB" w:rsidRDefault="006C78DB" w:rsidP="00FF79EE">
      <w:pPr>
        <w:pStyle w:val="bluetext"/>
        <w:shd w:val="clear" w:color="auto" w:fill="FFFFFF"/>
        <w:spacing w:after="0"/>
        <w:outlineLvl w:val="1"/>
        <w:rPr>
          <w:b/>
          <w:kern w:val="36"/>
          <w:sz w:val="48"/>
          <w:szCs w:val="48"/>
        </w:rPr>
      </w:pPr>
    </w:p>
    <w:p w:rsidR="007751EB" w:rsidRPr="004916BD" w:rsidRDefault="00035843" w:rsidP="00FF79EE">
      <w:pPr>
        <w:pStyle w:val="bluetext"/>
        <w:shd w:val="clear" w:color="auto" w:fill="FFFFFF"/>
        <w:spacing w:after="0"/>
        <w:outlineLvl w:val="1"/>
        <w:rPr>
          <w:b/>
          <w:kern w:val="36"/>
          <w:sz w:val="44"/>
          <w:szCs w:val="48"/>
        </w:rPr>
      </w:pPr>
      <w:r w:rsidRPr="004916BD">
        <w:rPr>
          <w:b/>
          <w:kern w:val="36"/>
          <w:sz w:val="44"/>
          <w:szCs w:val="48"/>
        </w:rPr>
        <w:t xml:space="preserve">Public Management Reform Agenda </w:t>
      </w:r>
      <w:r w:rsidR="002F29FC">
        <w:rPr>
          <w:b/>
          <w:kern w:val="36"/>
          <w:sz w:val="44"/>
          <w:szCs w:val="48"/>
        </w:rPr>
        <w:t>–</w:t>
      </w:r>
      <w:r w:rsidR="00367DCD" w:rsidRPr="004916BD">
        <w:rPr>
          <w:b/>
          <w:kern w:val="36"/>
          <w:sz w:val="44"/>
          <w:szCs w:val="48"/>
        </w:rPr>
        <w:t xml:space="preserve"> </w:t>
      </w:r>
      <w:r w:rsidR="00D65E2F">
        <w:rPr>
          <w:b/>
          <w:kern w:val="36"/>
          <w:sz w:val="44"/>
          <w:szCs w:val="48"/>
        </w:rPr>
        <w:t xml:space="preserve">update </w:t>
      </w:r>
    </w:p>
    <w:p w:rsidR="00C34764" w:rsidRPr="004916BD" w:rsidRDefault="00C34764" w:rsidP="008464D9">
      <w:pPr>
        <w:ind w:left="426" w:hanging="426"/>
        <w:rPr>
          <w:rFonts w:ascii="Times New Roman" w:hAnsi="Times New Roman" w:cs="Times New Roman"/>
          <w:sz w:val="36"/>
          <w:szCs w:val="36"/>
        </w:rPr>
      </w:pPr>
    </w:p>
    <w:p w:rsidR="007751EB" w:rsidRPr="004916BD" w:rsidRDefault="007751EB" w:rsidP="008464D9">
      <w:pPr>
        <w:ind w:left="426" w:hanging="426"/>
        <w:rPr>
          <w:rFonts w:ascii="Times New Roman" w:hAnsi="Times New Roman" w:cs="Times New Roman"/>
          <w:sz w:val="36"/>
          <w:szCs w:val="36"/>
        </w:rPr>
      </w:pPr>
      <w:r w:rsidRPr="004916BD">
        <w:rPr>
          <w:rFonts w:ascii="Times New Roman" w:hAnsi="Times New Roman" w:cs="Times New Roman"/>
          <w:sz w:val="36"/>
          <w:szCs w:val="36"/>
        </w:rPr>
        <w:t>Joint Committee of Public Accounts and Audit</w:t>
      </w:r>
    </w:p>
    <w:p w:rsidR="007751EB" w:rsidRPr="004916BD" w:rsidRDefault="007751EB" w:rsidP="008464D9">
      <w:pPr>
        <w:ind w:left="426" w:hanging="426"/>
        <w:rPr>
          <w:rFonts w:ascii="Times New Roman" w:hAnsi="Times New Roman" w:cs="Times New Roman"/>
          <w:sz w:val="36"/>
          <w:szCs w:val="36"/>
        </w:rPr>
      </w:pPr>
    </w:p>
    <w:p w:rsidR="007751EB" w:rsidRPr="004916BD" w:rsidRDefault="007751EB" w:rsidP="008464D9">
      <w:pPr>
        <w:ind w:left="426" w:hanging="426"/>
        <w:rPr>
          <w:rFonts w:ascii="Times New Roman" w:hAnsi="Times New Roman" w:cs="Times New Roman"/>
          <w:sz w:val="36"/>
          <w:szCs w:val="36"/>
        </w:rPr>
      </w:pPr>
    </w:p>
    <w:p w:rsidR="007751EB" w:rsidRPr="004916BD" w:rsidRDefault="007751EB" w:rsidP="008464D9">
      <w:pPr>
        <w:ind w:left="426" w:hanging="426"/>
        <w:rPr>
          <w:rFonts w:ascii="Times New Roman" w:hAnsi="Times New Roman" w:cs="Times New Roman"/>
          <w:sz w:val="36"/>
          <w:szCs w:val="36"/>
        </w:rPr>
      </w:pPr>
    </w:p>
    <w:p w:rsidR="007751EB" w:rsidRPr="004916BD" w:rsidRDefault="007751EB" w:rsidP="008464D9">
      <w:pPr>
        <w:ind w:left="426" w:hanging="426"/>
        <w:rPr>
          <w:rFonts w:ascii="Times New Roman" w:hAnsi="Times New Roman" w:cs="Times New Roman"/>
          <w:sz w:val="36"/>
          <w:szCs w:val="36"/>
        </w:rPr>
      </w:pPr>
    </w:p>
    <w:p w:rsidR="007751EB" w:rsidRPr="004916BD" w:rsidRDefault="007751EB" w:rsidP="008464D9">
      <w:pPr>
        <w:ind w:left="426" w:hanging="426"/>
        <w:rPr>
          <w:rFonts w:ascii="Times New Roman" w:hAnsi="Times New Roman" w:cs="Times New Roman"/>
          <w:sz w:val="36"/>
          <w:szCs w:val="36"/>
        </w:rPr>
      </w:pPr>
    </w:p>
    <w:p w:rsidR="007751EB" w:rsidRPr="004916BD" w:rsidRDefault="007751EB" w:rsidP="008464D9">
      <w:pPr>
        <w:ind w:left="426" w:hanging="426"/>
        <w:rPr>
          <w:rFonts w:ascii="Times New Roman" w:hAnsi="Times New Roman" w:cs="Times New Roman"/>
          <w:sz w:val="36"/>
          <w:szCs w:val="36"/>
        </w:rPr>
      </w:pPr>
    </w:p>
    <w:p w:rsidR="007751EB" w:rsidRPr="004916BD" w:rsidRDefault="007751EB" w:rsidP="008464D9">
      <w:pPr>
        <w:pStyle w:val="bluetext"/>
        <w:shd w:val="clear" w:color="auto" w:fill="FFFFFF"/>
        <w:spacing w:after="0"/>
        <w:ind w:left="426" w:hanging="426"/>
        <w:outlineLvl w:val="1"/>
        <w:rPr>
          <w:b/>
          <w:kern w:val="36"/>
          <w:sz w:val="40"/>
          <w:szCs w:val="40"/>
        </w:rPr>
      </w:pPr>
    </w:p>
    <w:p w:rsidR="007751EB" w:rsidRPr="004916BD" w:rsidRDefault="007751EB" w:rsidP="008464D9">
      <w:pPr>
        <w:pStyle w:val="bluetext"/>
        <w:shd w:val="clear" w:color="auto" w:fill="FFFFFF"/>
        <w:spacing w:after="0"/>
        <w:ind w:left="426" w:hanging="426"/>
        <w:outlineLvl w:val="1"/>
        <w:rPr>
          <w:b/>
          <w:kern w:val="36"/>
          <w:sz w:val="40"/>
          <w:szCs w:val="40"/>
        </w:rPr>
      </w:pPr>
    </w:p>
    <w:p w:rsidR="007751EB" w:rsidRPr="004916BD" w:rsidRDefault="007751EB" w:rsidP="000C6325">
      <w:pPr>
        <w:pStyle w:val="bluetext"/>
        <w:shd w:val="clear" w:color="auto" w:fill="FFFFFF"/>
        <w:spacing w:after="0"/>
        <w:outlineLvl w:val="1"/>
        <w:rPr>
          <w:b/>
          <w:kern w:val="36"/>
          <w:sz w:val="44"/>
          <w:szCs w:val="48"/>
        </w:rPr>
      </w:pPr>
      <w:r w:rsidRPr="004916BD">
        <w:rPr>
          <w:b/>
          <w:kern w:val="36"/>
          <w:sz w:val="44"/>
          <w:szCs w:val="48"/>
        </w:rPr>
        <w:t xml:space="preserve">Submission by the Department of Finance </w:t>
      </w:r>
    </w:p>
    <w:p w:rsidR="007751EB" w:rsidRPr="004916BD" w:rsidRDefault="007751EB" w:rsidP="008464D9">
      <w:pPr>
        <w:pStyle w:val="bluetext"/>
        <w:shd w:val="clear" w:color="auto" w:fill="FFFFFF"/>
        <w:spacing w:after="0"/>
        <w:ind w:left="426" w:hanging="426"/>
        <w:outlineLvl w:val="1"/>
        <w:rPr>
          <w:kern w:val="36"/>
          <w:sz w:val="41"/>
          <w:szCs w:val="41"/>
        </w:rPr>
      </w:pPr>
    </w:p>
    <w:p w:rsidR="007751EB" w:rsidRPr="004916BD" w:rsidRDefault="007751EB" w:rsidP="008464D9">
      <w:pPr>
        <w:ind w:left="426" w:hanging="426"/>
        <w:rPr>
          <w:rFonts w:ascii="Times New Roman" w:hAnsi="Times New Roman" w:cs="Times New Roman"/>
          <w:sz w:val="36"/>
          <w:szCs w:val="36"/>
        </w:rPr>
      </w:pPr>
    </w:p>
    <w:p w:rsidR="007751EB" w:rsidRPr="004916BD" w:rsidRDefault="007751EB" w:rsidP="008464D9">
      <w:pPr>
        <w:ind w:left="426" w:hanging="426"/>
        <w:rPr>
          <w:rFonts w:ascii="Times New Roman" w:hAnsi="Times New Roman" w:cs="Times New Roman"/>
          <w:sz w:val="36"/>
          <w:szCs w:val="36"/>
        </w:rPr>
      </w:pPr>
    </w:p>
    <w:p w:rsidR="00425046" w:rsidRPr="004916BD" w:rsidRDefault="00425046" w:rsidP="008464D9">
      <w:pPr>
        <w:ind w:left="426" w:hanging="426"/>
        <w:rPr>
          <w:rFonts w:ascii="Times New Roman" w:hAnsi="Times New Roman" w:cs="Times New Roman"/>
          <w:sz w:val="36"/>
          <w:szCs w:val="36"/>
        </w:rPr>
      </w:pPr>
    </w:p>
    <w:p w:rsidR="00425046" w:rsidRPr="004916BD" w:rsidRDefault="00425046" w:rsidP="008464D9">
      <w:pPr>
        <w:ind w:left="426" w:hanging="426"/>
        <w:rPr>
          <w:rFonts w:ascii="Times New Roman" w:hAnsi="Times New Roman" w:cs="Times New Roman"/>
          <w:sz w:val="36"/>
          <w:szCs w:val="36"/>
        </w:rPr>
      </w:pPr>
    </w:p>
    <w:p w:rsidR="005B154C" w:rsidRPr="004916BD" w:rsidRDefault="005B154C" w:rsidP="008464D9">
      <w:pPr>
        <w:ind w:left="426" w:hanging="426"/>
        <w:rPr>
          <w:rFonts w:ascii="Times New Roman" w:hAnsi="Times New Roman" w:cs="Times New Roman"/>
          <w:sz w:val="36"/>
          <w:szCs w:val="36"/>
        </w:rPr>
      </w:pPr>
    </w:p>
    <w:p w:rsidR="005B154C" w:rsidRPr="004916BD" w:rsidRDefault="005B154C" w:rsidP="008464D9">
      <w:pPr>
        <w:ind w:left="426" w:hanging="426"/>
        <w:rPr>
          <w:rFonts w:ascii="Times New Roman" w:hAnsi="Times New Roman" w:cs="Times New Roman"/>
          <w:sz w:val="36"/>
          <w:szCs w:val="36"/>
        </w:rPr>
      </w:pPr>
    </w:p>
    <w:p w:rsidR="005B154C" w:rsidRPr="004916BD" w:rsidRDefault="005B154C" w:rsidP="008464D9">
      <w:pPr>
        <w:ind w:left="426" w:hanging="426"/>
        <w:rPr>
          <w:rFonts w:ascii="Times New Roman" w:hAnsi="Times New Roman" w:cs="Times New Roman"/>
          <w:sz w:val="36"/>
          <w:szCs w:val="36"/>
        </w:rPr>
      </w:pPr>
    </w:p>
    <w:p w:rsidR="007751EB" w:rsidRPr="004916BD" w:rsidRDefault="003251D9" w:rsidP="008464D9">
      <w:pPr>
        <w:ind w:left="426" w:hanging="426"/>
        <w:jc w:val="right"/>
        <w:rPr>
          <w:rFonts w:ascii="Times New Roman" w:hAnsi="Times New Roman" w:cs="Times New Roman"/>
          <w:sz w:val="36"/>
          <w:szCs w:val="36"/>
        </w:rPr>
      </w:pPr>
      <w:r>
        <w:rPr>
          <w:rFonts w:ascii="Times New Roman" w:hAnsi="Times New Roman" w:cs="Times New Roman"/>
          <w:sz w:val="36"/>
          <w:szCs w:val="36"/>
        </w:rPr>
        <w:t>June</w:t>
      </w:r>
      <w:r w:rsidRPr="004916BD">
        <w:rPr>
          <w:rFonts w:ascii="Times New Roman" w:hAnsi="Times New Roman" w:cs="Times New Roman"/>
          <w:sz w:val="36"/>
          <w:szCs w:val="36"/>
        </w:rPr>
        <w:t xml:space="preserve"> </w:t>
      </w:r>
      <w:r w:rsidR="000C6325" w:rsidRPr="004916BD">
        <w:rPr>
          <w:rFonts w:ascii="Times New Roman" w:hAnsi="Times New Roman" w:cs="Times New Roman"/>
          <w:sz w:val="36"/>
          <w:szCs w:val="36"/>
        </w:rPr>
        <w:t>201</w:t>
      </w:r>
      <w:r w:rsidR="001A3CB6">
        <w:rPr>
          <w:rFonts w:ascii="Times New Roman" w:hAnsi="Times New Roman" w:cs="Times New Roman"/>
          <w:sz w:val="36"/>
          <w:szCs w:val="36"/>
        </w:rPr>
        <w:t>7</w:t>
      </w:r>
    </w:p>
    <w:p w:rsidR="007751EB" w:rsidRPr="004916BD" w:rsidRDefault="004D42EF" w:rsidP="00076BE8">
      <w:pPr>
        <w:pStyle w:val="Heading2"/>
        <w:spacing w:before="120" w:after="120"/>
        <w:ind w:left="426" w:hanging="426"/>
        <w:rPr>
          <w:rFonts w:ascii="Times New Roman" w:hAnsi="Times New Roman" w:cs="Times New Roman"/>
          <w:i/>
          <w:color w:val="auto"/>
          <w:sz w:val="28"/>
          <w:szCs w:val="28"/>
        </w:rPr>
      </w:pPr>
      <w:r w:rsidRPr="004916BD">
        <w:rPr>
          <w:rFonts w:ascii="Times New Roman" w:hAnsi="Times New Roman" w:cs="Times New Roman"/>
          <w:b w:val="0"/>
          <w:sz w:val="28"/>
          <w:szCs w:val="28"/>
        </w:rPr>
        <w:br w:type="column"/>
      </w:r>
      <w:r w:rsidR="00C34764" w:rsidRPr="004916BD">
        <w:rPr>
          <w:rFonts w:ascii="Times New Roman" w:hAnsi="Times New Roman" w:cs="Times New Roman"/>
          <w:i/>
          <w:color w:val="auto"/>
          <w:sz w:val="28"/>
          <w:szCs w:val="28"/>
        </w:rPr>
        <w:lastRenderedPageBreak/>
        <w:t>Introduction</w:t>
      </w:r>
    </w:p>
    <w:p w:rsidR="00076BE8" w:rsidRPr="004916BD" w:rsidRDefault="003D1A00" w:rsidP="00777902">
      <w:pPr>
        <w:pStyle w:val="CABNETParagraph"/>
        <w:numPr>
          <w:ilvl w:val="0"/>
          <w:numId w:val="2"/>
        </w:numPr>
        <w:rPr>
          <w:rFonts w:ascii="Times New Roman" w:hAnsi="Times New Roman"/>
          <w:sz w:val="24"/>
          <w:szCs w:val="24"/>
        </w:rPr>
      </w:pPr>
      <w:r w:rsidRPr="004916BD">
        <w:rPr>
          <w:rFonts w:ascii="Times New Roman" w:hAnsi="Times New Roman" w:cs="Times New Roman"/>
          <w:sz w:val="24"/>
          <w:szCs w:val="24"/>
          <w:lang w:eastAsia="en-AU"/>
        </w:rPr>
        <w:t xml:space="preserve">This submission to the </w:t>
      </w:r>
      <w:r w:rsidR="00777902" w:rsidRPr="004916BD">
        <w:rPr>
          <w:rFonts w:ascii="Times New Roman" w:hAnsi="Times New Roman" w:cs="Times New Roman"/>
          <w:sz w:val="24"/>
          <w:szCs w:val="24"/>
          <w:lang w:eastAsia="en-AU"/>
        </w:rPr>
        <w:t>Joint Committee of Public Accounts and Audit (</w:t>
      </w:r>
      <w:r w:rsidR="00367DCD" w:rsidRPr="004916BD">
        <w:rPr>
          <w:rFonts w:ascii="Times New Roman" w:hAnsi="Times New Roman" w:cs="Times New Roman"/>
          <w:sz w:val="24"/>
          <w:szCs w:val="24"/>
          <w:lang w:eastAsia="en-AU"/>
        </w:rPr>
        <w:t>Committee)</w:t>
      </w:r>
      <w:r w:rsidRPr="004916BD">
        <w:rPr>
          <w:rFonts w:ascii="Times New Roman" w:hAnsi="Times New Roman" w:cs="Times New Roman"/>
          <w:sz w:val="24"/>
          <w:szCs w:val="24"/>
          <w:lang w:eastAsia="en-AU"/>
        </w:rPr>
        <w:t xml:space="preserve"> </w:t>
      </w:r>
      <w:r w:rsidR="000628EE" w:rsidRPr="004916BD">
        <w:rPr>
          <w:rFonts w:ascii="Times New Roman" w:hAnsi="Times New Roman" w:cs="Times New Roman"/>
          <w:sz w:val="24"/>
          <w:szCs w:val="24"/>
          <w:lang w:eastAsia="en-AU"/>
        </w:rPr>
        <w:t xml:space="preserve">is to provide </w:t>
      </w:r>
      <w:r w:rsidR="002F29FC">
        <w:rPr>
          <w:rFonts w:ascii="Times New Roman" w:hAnsi="Times New Roman" w:cs="Times New Roman"/>
          <w:sz w:val="24"/>
          <w:szCs w:val="24"/>
          <w:lang w:eastAsia="en-AU"/>
        </w:rPr>
        <w:t xml:space="preserve">information on </w:t>
      </w:r>
      <w:r w:rsidR="000628EE" w:rsidRPr="004916BD">
        <w:rPr>
          <w:rFonts w:ascii="Times New Roman" w:hAnsi="Times New Roman" w:cs="Times New Roman"/>
          <w:sz w:val="24"/>
          <w:szCs w:val="24"/>
          <w:lang w:eastAsia="en-AU"/>
        </w:rPr>
        <w:t>matters relating to the Public Management Reform Agenda</w:t>
      </w:r>
      <w:r w:rsidR="008563C4" w:rsidRPr="004916BD">
        <w:rPr>
          <w:rFonts w:ascii="Times New Roman" w:hAnsi="Times New Roman" w:cs="Times New Roman"/>
          <w:sz w:val="24"/>
          <w:szCs w:val="24"/>
          <w:lang w:eastAsia="en-AU"/>
        </w:rPr>
        <w:t xml:space="preserve"> (PMRA)</w:t>
      </w:r>
      <w:r w:rsidR="000628EE" w:rsidRPr="004916BD">
        <w:rPr>
          <w:rFonts w:ascii="Times New Roman" w:hAnsi="Times New Roman" w:cs="Times New Roman"/>
          <w:sz w:val="24"/>
          <w:szCs w:val="24"/>
          <w:lang w:eastAsia="en-AU"/>
        </w:rPr>
        <w:t xml:space="preserve">, including the </w:t>
      </w:r>
      <w:r w:rsidRPr="004916BD">
        <w:rPr>
          <w:rFonts w:ascii="Times New Roman" w:hAnsi="Times New Roman" w:cs="Times New Roman"/>
          <w:i/>
          <w:sz w:val="24"/>
          <w:szCs w:val="24"/>
          <w:lang w:eastAsia="en-AU"/>
        </w:rPr>
        <w:t>Public Governance, Performance and Accountability Act 2013</w:t>
      </w:r>
      <w:r w:rsidRPr="004916BD">
        <w:rPr>
          <w:rFonts w:ascii="Times New Roman" w:hAnsi="Times New Roman" w:cs="Times New Roman"/>
          <w:sz w:val="24"/>
          <w:szCs w:val="24"/>
          <w:lang w:eastAsia="en-AU"/>
        </w:rPr>
        <w:t xml:space="preserve"> (</w:t>
      </w:r>
      <w:r w:rsidR="004010AE" w:rsidRPr="004916BD">
        <w:rPr>
          <w:rFonts w:ascii="Times New Roman" w:hAnsi="Times New Roman" w:cs="Times New Roman"/>
          <w:sz w:val="24"/>
          <w:szCs w:val="24"/>
          <w:lang w:eastAsia="en-AU"/>
        </w:rPr>
        <w:t>PGPA Act</w:t>
      </w:r>
      <w:r w:rsidRPr="004916BD">
        <w:rPr>
          <w:rFonts w:ascii="Times New Roman" w:hAnsi="Times New Roman" w:cs="Times New Roman"/>
          <w:sz w:val="24"/>
          <w:szCs w:val="24"/>
          <w:lang w:eastAsia="en-AU"/>
        </w:rPr>
        <w:t>)</w:t>
      </w:r>
      <w:r w:rsidR="00367DCD" w:rsidRPr="004916BD">
        <w:rPr>
          <w:rFonts w:ascii="Times New Roman" w:hAnsi="Times New Roman" w:cs="Times New Roman"/>
          <w:sz w:val="24"/>
          <w:szCs w:val="24"/>
          <w:lang w:eastAsia="en-AU"/>
        </w:rPr>
        <w:t xml:space="preserve"> and</w:t>
      </w:r>
      <w:r w:rsidR="009E4189">
        <w:rPr>
          <w:rFonts w:ascii="Times New Roman" w:hAnsi="Times New Roman" w:cs="Times New Roman"/>
          <w:sz w:val="24"/>
          <w:szCs w:val="24"/>
          <w:lang w:eastAsia="en-AU"/>
        </w:rPr>
        <w:t xml:space="preserve"> the</w:t>
      </w:r>
      <w:r w:rsidR="00367DCD" w:rsidRPr="004916BD">
        <w:rPr>
          <w:rFonts w:ascii="Times New Roman" w:hAnsi="Times New Roman" w:cs="Times New Roman"/>
          <w:sz w:val="24"/>
          <w:szCs w:val="24"/>
          <w:lang w:eastAsia="en-AU"/>
        </w:rPr>
        <w:t xml:space="preserve"> </w:t>
      </w:r>
      <w:r w:rsidR="007D7249" w:rsidRPr="004916BD">
        <w:rPr>
          <w:rFonts w:ascii="Times New Roman" w:hAnsi="Times New Roman" w:cs="Times New Roman"/>
          <w:i/>
          <w:sz w:val="24"/>
          <w:szCs w:val="24"/>
          <w:lang w:eastAsia="en-AU"/>
        </w:rPr>
        <w:t xml:space="preserve">Public Governance, Performance and Accountability Rule 2014 </w:t>
      </w:r>
      <w:r w:rsidR="007D7249" w:rsidRPr="004916BD">
        <w:rPr>
          <w:rFonts w:ascii="Times New Roman" w:hAnsi="Times New Roman" w:cs="Times New Roman"/>
          <w:sz w:val="24"/>
          <w:szCs w:val="24"/>
          <w:lang w:eastAsia="en-AU"/>
        </w:rPr>
        <w:t>(</w:t>
      </w:r>
      <w:r w:rsidR="00E2046D" w:rsidRPr="004916BD">
        <w:rPr>
          <w:rFonts w:ascii="Times New Roman" w:hAnsi="Times New Roman" w:cs="Times New Roman"/>
          <w:sz w:val="24"/>
          <w:szCs w:val="24"/>
          <w:lang w:eastAsia="en-AU"/>
        </w:rPr>
        <w:t>R</w:t>
      </w:r>
      <w:r w:rsidR="00367DCD" w:rsidRPr="004916BD">
        <w:rPr>
          <w:rFonts w:ascii="Times New Roman" w:hAnsi="Times New Roman" w:cs="Times New Roman"/>
          <w:sz w:val="24"/>
          <w:szCs w:val="24"/>
          <w:lang w:eastAsia="en-AU"/>
        </w:rPr>
        <w:t>ules</w:t>
      </w:r>
      <w:r w:rsidR="007D7249" w:rsidRPr="004916BD">
        <w:rPr>
          <w:rFonts w:ascii="Times New Roman" w:hAnsi="Times New Roman" w:cs="Times New Roman"/>
          <w:sz w:val="24"/>
          <w:szCs w:val="24"/>
          <w:lang w:eastAsia="en-AU"/>
        </w:rPr>
        <w:t>)</w:t>
      </w:r>
      <w:r w:rsidR="00DD5AEE">
        <w:rPr>
          <w:rFonts w:ascii="Times New Roman" w:hAnsi="Times New Roman" w:cs="Times New Roman"/>
          <w:sz w:val="24"/>
          <w:szCs w:val="24"/>
          <w:lang w:eastAsia="en-AU"/>
        </w:rPr>
        <w:t xml:space="preserve"> for the purpose of public release, as requested on 2 May 2017</w:t>
      </w:r>
      <w:r w:rsidRPr="004916BD">
        <w:rPr>
          <w:rFonts w:ascii="Times New Roman" w:hAnsi="Times New Roman" w:cs="Times New Roman"/>
          <w:sz w:val="24"/>
          <w:szCs w:val="24"/>
          <w:lang w:eastAsia="en-AU"/>
        </w:rPr>
        <w:t>.</w:t>
      </w:r>
      <w:r w:rsidRPr="004916BD">
        <w:rPr>
          <w:rFonts w:ascii="Times New Roman" w:hAnsi="Times New Roman"/>
          <w:sz w:val="24"/>
          <w:szCs w:val="24"/>
        </w:rPr>
        <w:t xml:space="preserve"> </w:t>
      </w:r>
      <w:r w:rsidR="0010303F">
        <w:rPr>
          <w:rFonts w:ascii="Times New Roman" w:hAnsi="Times New Roman"/>
          <w:sz w:val="24"/>
          <w:szCs w:val="24"/>
        </w:rPr>
        <w:t xml:space="preserve">  </w:t>
      </w:r>
    </w:p>
    <w:p w:rsidR="0009603A" w:rsidRPr="004916BD" w:rsidRDefault="00940DC1" w:rsidP="0009603A">
      <w:pPr>
        <w:pStyle w:val="CABNETParagraph"/>
        <w:numPr>
          <w:ilvl w:val="0"/>
          <w:numId w:val="2"/>
        </w:numPr>
        <w:rPr>
          <w:rFonts w:ascii="Times New Roman" w:hAnsi="Times New Roman" w:cs="Times New Roman"/>
          <w:sz w:val="24"/>
          <w:szCs w:val="24"/>
          <w:lang w:eastAsia="en-AU"/>
        </w:rPr>
      </w:pPr>
      <w:r w:rsidRPr="004916BD">
        <w:rPr>
          <w:rFonts w:ascii="Times New Roman" w:hAnsi="Times New Roman" w:cs="Times New Roman"/>
          <w:sz w:val="24"/>
          <w:szCs w:val="24"/>
          <w:lang w:eastAsia="en-AU"/>
        </w:rPr>
        <w:t xml:space="preserve">Over the last </w:t>
      </w:r>
      <w:r w:rsidR="003D0ED5">
        <w:rPr>
          <w:rFonts w:ascii="Times New Roman" w:hAnsi="Times New Roman" w:cs="Times New Roman"/>
          <w:sz w:val="24"/>
          <w:szCs w:val="24"/>
          <w:lang w:eastAsia="en-AU"/>
        </w:rPr>
        <w:t>three</w:t>
      </w:r>
      <w:r w:rsidRPr="004916BD">
        <w:rPr>
          <w:rFonts w:ascii="Times New Roman" w:hAnsi="Times New Roman" w:cs="Times New Roman"/>
          <w:sz w:val="24"/>
          <w:szCs w:val="24"/>
          <w:lang w:eastAsia="en-AU"/>
        </w:rPr>
        <w:t xml:space="preserve"> years, </w:t>
      </w:r>
      <w:r w:rsidR="00690A7A">
        <w:rPr>
          <w:rFonts w:ascii="Times New Roman" w:hAnsi="Times New Roman" w:cs="Times New Roman"/>
          <w:sz w:val="24"/>
          <w:szCs w:val="24"/>
          <w:lang w:eastAsia="en-AU"/>
        </w:rPr>
        <w:t>the Department of Finance (</w:t>
      </w:r>
      <w:r w:rsidRPr="004916BD">
        <w:rPr>
          <w:rFonts w:ascii="Times New Roman" w:hAnsi="Times New Roman" w:cs="Times New Roman"/>
          <w:sz w:val="24"/>
          <w:szCs w:val="24"/>
          <w:lang w:eastAsia="en-AU"/>
        </w:rPr>
        <w:t>Finance</w:t>
      </w:r>
      <w:r w:rsidR="00690A7A">
        <w:rPr>
          <w:rFonts w:ascii="Times New Roman" w:hAnsi="Times New Roman" w:cs="Times New Roman"/>
          <w:sz w:val="24"/>
          <w:szCs w:val="24"/>
          <w:lang w:eastAsia="en-AU"/>
        </w:rPr>
        <w:t>)</w:t>
      </w:r>
      <w:r w:rsidRPr="004916BD">
        <w:rPr>
          <w:rFonts w:ascii="Times New Roman" w:hAnsi="Times New Roman" w:cs="Times New Roman"/>
          <w:sz w:val="24"/>
          <w:szCs w:val="24"/>
          <w:lang w:eastAsia="en-AU"/>
        </w:rPr>
        <w:t xml:space="preserve"> has developed and implemented arrangements to </w:t>
      </w:r>
      <w:r w:rsidR="00B95C99">
        <w:rPr>
          <w:rFonts w:ascii="Times New Roman" w:hAnsi="Times New Roman" w:cs="Times New Roman"/>
          <w:sz w:val="24"/>
          <w:szCs w:val="24"/>
          <w:lang w:eastAsia="en-AU"/>
        </w:rPr>
        <w:t>operationalise</w:t>
      </w:r>
      <w:r w:rsidRPr="004916BD">
        <w:t xml:space="preserve"> </w:t>
      </w:r>
      <w:r w:rsidRPr="004916BD">
        <w:rPr>
          <w:rFonts w:ascii="Times New Roman" w:hAnsi="Times New Roman" w:cs="Times New Roman"/>
          <w:sz w:val="24"/>
          <w:szCs w:val="24"/>
          <w:lang w:eastAsia="en-AU"/>
        </w:rPr>
        <w:t>the PGPA Act</w:t>
      </w:r>
      <w:r w:rsidR="0009603A">
        <w:rPr>
          <w:rFonts w:ascii="Times New Roman" w:hAnsi="Times New Roman" w:cs="Times New Roman"/>
          <w:sz w:val="24"/>
          <w:szCs w:val="24"/>
          <w:lang w:eastAsia="en-AU"/>
        </w:rPr>
        <w:t xml:space="preserve"> framework</w:t>
      </w:r>
      <w:r w:rsidRPr="004916BD">
        <w:rPr>
          <w:rFonts w:ascii="Times New Roman" w:hAnsi="Times New Roman" w:cs="Times New Roman"/>
          <w:sz w:val="24"/>
          <w:szCs w:val="24"/>
          <w:lang w:eastAsia="en-AU"/>
        </w:rPr>
        <w:t xml:space="preserve">. </w:t>
      </w:r>
      <w:r w:rsidR="0009603A">
        <w:rPr>
          <w:rFonts w:ascii="Times New Roman" w:hAnsi="Times New Roman" w:cs="Times New Roman"/>
          <w:sz w:val="24"/>
          <w:szCs w:val="24"/>
          <w:lang w:eastAsia="en-AU"/>
        </w:rPr>
        <w:t xml:space="preserve">With the introduction of the annual report requirements </w:t>
      </w:r>
      <w:r w:rsidR="003D0ED5">
        <w:rPr>
          <w:rFonts w:ascii="Times New Roman" w:hAnsi="Times New Roman" w:cs="Times New Roman"/>
          <w:sz w:val="24"/>
          <w:szCs w:val="24"/>
          <w:lang w:eastAsia="en-AU"/>
        </w:rPr>
        <w:t xml:space="preserve">in </w:t>
      </w:r>
      <w:r w:rsidR="0009603A">
        <w:rPr>
          <w:rFonts w:ascii="Times New Roman" w:hAnsi="Times New Roman" w:cs="Times New Roman"/>
          <w:sz w:val="24"/>
          <w:szCs w:val="24"/>
          <w:lang w:eastAsia="en-AU"/>
        </w:rPr>
        <w:t xml:space="preserve">the Rules earlier </w:t>
      </w:r>
      <w:r w:rsidR="00DD5AEE">
        <w:rPr>
          <w:rFonts w:ascii="Times New Roman" w:hAnsi="Times New Roman" w:cs="Times New Roman"/>
          <w:sz w:val="24"/>
          <w:szCs w:val="24"/>
          <w:lang w:eastAsia="en-AU"/>
        </w:rPr>
        <w:t>in 2016</w:t>
      </w:r>
      <w:r w:rsidR="0009603A">
        <w:rPr>
          <w:rFonts w:ascii="Times New Roman" w:hAnsi="Times New Roman" w:cs="Times New Roman"/>
          <w:sz w:val="24"/>
          <w:szCs w:val="24"/>
          <w:lang w:eastAsia="en-AU"/>
        </w:rPr>
        <w:t xml:space="preserve">, the final legislative elements of the PGPA Act </w:t>
      </w:r>
      <w:r w:rsidR="003D0ED5">
        <w:rPr>
          <w:rFonts w:ascii="Times New Roman" w:hAnsi="Times New Roman" w:cs="Times New Roman"/>
          <w:sz w:val="24"/>
          <w:szCs w:val="24"/>
          <w:lang w:eastAsia="en-AU"/>
        </w:rPr>
        <w:t>framework</w:t>
      </w:r>
      <w:r w:rsidR="0009603A">
        <w:rPr>
          <w:rFonts w:ascii="Times New Roman" w:hAnsi="Times New Roman" w:cs="Times New Roman"/>
          <w:sz w:val="24"/>
          <w:szCs w:val="24"/>
          <w:lang w:eastAsia="en-AU"/>
        </w:rPr>
        <w:t xml:space="preserve"> are </w:t>
      </w:r>
      <w:r w:rsidR="003D0ED5">
        <w:rPr>
          <w:rFonts w:ascii="Times New Roman" w:hAnsi="Times New Roman" w:cs="Times New Roman"/>
          <w:sz w:val="24"/>
          <w:szCs w:val="24"/>
          <w:lang w:eastAsia="en-AU"/>
        </w:rPr>
        <w:t>i</w:t>
      </w:r>
      <w:r w:rsidR="0009603A">
        <w:rPr>
          <w:rFonts w:ascii="Times New Roman" w:hAnsi="Times New Roman" w:cs="Times New Roman"/>
          <w:sz w:val="24"/>
          <w:szCs w:val="24"/>
          <w:lang w:eastAsia="en-AU"/>
        </w:rPr>
        <w:t xml:space="preserve">n place. </w:t>
      </w:r>
      <w:r w:rsidR="0009603A" w:rsidRPr="004916BD" w:rsidDel="009F7AA7">
        <w:rPr>
          <w:rFonts w:ascii="Times New Roman" w:hAnsi="Times New Roman" w:cs="Times New Roman"/>
          <w:sz w:val="24"/>
          <w:szCs w:val="24"/>
          <w:lang w:eastAsia="en-AU"/>
        </w:rPr>
        <w:t>As a result, the Commonwealth</w:t>
      </w:r>
      <w:r w:rsidR="003D0ED5" w:rsidDel="009F7AA7">
        <w:rPr>
          <w:rFonts w:ascii="Times New Roman" w:hAnsi="Times New Roman" w:cs="Times New Roman"/>
          <w:sz w:val="24"/>
          <w:szCs w:val="24"/>
          <w:lang w:eastAsia="en-AU"/>
        </w:rPr>
        <w:t xml:space="preserve"> now</w:t>
      </w:r>
      <w:r w:rsidR="0009603A" w:rsidRPr="004916BD" w:rsidDel="009F7AA7">
        <w:rPr>
          <w:rFonts w:ascii="Times New Roman" w:hAnsi="Times New Roman" w:cs="Times New Roman"/>
          <w:sz w:val="24"/>
          <w:szCs w:val="24"/>
          <w:lang w:eastAsia="en-AU"/>
        </w:rPr>
        <w:t xml:space="preserve"> has </w:t>
      </w:r>
      <w:r w:rsidR="003D0ED5" w:rsidDel="009F7AA7">
        <w:rPr>
          <w:rFonts w:ascii="Times New Roman" w:hAnsi="Times New Roman" w:cs="Times New Roman"/>
          <w:sz w:val="24"/>
          <w:szCs w:val="24"/>
          <w:lang w:eastAsia="en-AU"/>
        </w:rPr>
        <w:t xml:space="preserve">enhanced </w:t>
      </w:r>
      <w:r w:rsidR="0009603A" w:rsidRPr="004916BD" w:rsidDel="009F7AA7">
        <w:rPr>
          <w:rFonts w:ascii="Times New Roman" w:hAnsi="Times New Roman" w:cs="Times New Roman"/>
          <w:sz w:val="24"/>
          <w:szCs w:val="24"/>
          <w:lang w:eastAsia="en-AU"/>
        </w:rPr>
        <w:t xml:space="preserve">coherence to its governance, performance and accountability arrangements. </w:t>
      </w:r>
    </w:p>
    <w:p w:rsidR="0009603A" w:rsidRPr="00047245" w:rsidRDefault="003D0ED5" w:rsidP="0009603A">
      <w:pPr>
        <w:pStyle w:val="CABNETParagraph"/>
        <w:numPr>
          <w:ilvl w:val="0"/>
          <w:numId w:val="2"/>
        </w:numPr>
        <w:rPr>
          <w:rFonts w:ascii="Times New Roman" w:hAnsi="Times New Roman" w:cs="Times New Roman"/>
          <w:sz w:val="24"/>
          <w:szCs w:val="24"/>
          <w:lang w:eastAsia="en-AU"/>
        </w:rPr>
      </w:pPr>
      <w:r w:rsidRPr="000C092B">
        <w:rPr>
          <w:rFonts w:ascii="Times New Roman" w:hAnsi="Times New Roman" w:cs="Times New Roman"/>
          <w:sz w:val="24"/>
          <w:szCs w:val="24"/>
          <w:lang w:eastAsia="en-AU"/>
        </w:rPr>
        <w:t xml:space="preserve">This is the third resource </w:t>
      </w:r>
      <w:r w:rsidR="0009603A" w:rsidRPr="000C092B">
        <w:rPr>
          <w:rFonts w:ascii="Times New Roman" w:hAnsi="Times New Roman" w:cs="Times New Roman"/>
          <w:sz w:val="24"/>
          <w:szCs w:val="24"/>
          <w:lang w:eastAsia="en-AU"/>
        </w:rPr>
        <w:t>management framework in the history of the Commonwealth, and it encapsulates many of the formal elements required to build a better performing, more efficient, effective, coherent and joined up public sector. Its design was informed by strong input from the parliament, key external stakeholders, and from Commonwealth entities and companies.  A</w:t>
      </w:r>
      <w:r w:rsidR="0009603A" w:rsidRPr="00047245">
        <w:rPr>
          <w:rFonts w:ascii="Times New Roman" w:hAnsi="Times New Roman" w:cs="Times New Roman"/>
          <w:sz w:val="24"/>
          <w:szCs w:val="24"/>
          <w:lang w:eastAsia="en-AU"/>
        </w:rPr>
        <w:t xml:space="preserve">n overview of the PGPA Act is provided at </w:t>
      </w:r>
      <w:r w:rsidR="0009603A" w:rsidRPr="00047245">
        <w:rPr>
          <w:rFonts w:ascii="Times New Roman" w:hAnsi="Times New Roman" w:cs="Times New Roman"/>
          <w:sz w:val="24"/>
          <w:szCs w:val="24"/>
          <w:u w:val="single"/>
          <w:lang w:eastAsia="en-AU"/>
        </w:rPr>
        <w:t>Attachment A</w:t>
      </w:r>
      <w:r w:rsidR="0009603A" w:rsidRPr="00047245">
        <w:rPr>
          <w:rFonts w:ascii="Times New Roman" w:hAnsi="Times New Roman" w:cs="Times New Roman"/>
          <w:sz w:val="24"/>
          <w:szCs w:val="24"/>
          <w:lang w:eastAsia="en-AU"/>
        </w:rPr>
        <w:t>.</w:t>
      </w:r>
    </w:p>
    <w:p w:rsidR="006440B3" w:rsidRPr="004916BD" w:rsidRDefault="008C43C0" w:rsidP="008C43C0">
      <w:pPr>
        <w:pStyle w:val="Heading2"/>
        <w:spacing w:before="120"/>
        <w:ind w:hanging="426"/>
        <w:rPr>
          <w:rFonts w:ascii="Times New Roman" w:hAnsi="Times New Roman" w:cs="Times New Roman"/>
          <w:i/>
          <w:color w:val="auto"/>
          <w:sz w:val="28"/>
          <w:szCs w:val="28"/>
        </w:rPr>
      </w:pPr>
      <w:r>
        <w:rPr>
          <w:rFonts w:ascii="Times New Roman" w:hAnsi="Times New Roman" w:cs="Times New Roman"/>
          <w:i/>
          <w:color w:val="auto"/>
          <w:sz w:val="28"/>
          <w:szCs w:val="28"/>
        </w:rPr>
        <w:br/>
      </w:r>
      <w:r w:rsidR="003D0ED5">
        <w:rPr>
          <w:rFonts w:ascii="Times New Roman" w:hAnsi="Times New Roman" w:cs="Times New Roman"/>
          <w:i/>
          <w:color w:val="auto"/>
          <w:sz w:val="28"/>
          <w:szCs w:val="28"/>
        </w:rPr>
        <w:t>Public Management Reform Agenda</w:t>
      </w:r>
    </w:p>
    <w:p w:rsidR="003D0ED5" w:rsidRDefault="003D0ED5" w:rsidP="00DE2991">
      <w:pPr>
        <w:pStyle w:val="CABNETParagraph"/>
        <w:numPr>
          <w:ilvl w:val="0"/>
          <w:numId w:val="2"/>
        </w:num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Stage one of the PMRA was completed with the commencement of the PGPA Act on </w:t>
      </w:r>
      <w:r>
        <w:rPr>
          <w:rFonts w:ascii="Times New Roman" w:hAnsi="Times New Roman" w:cs="Times New Roman"/>
          <w:sz w:val="24"/>
          <w:szCs w:val="24"/>
          <w:lang w:eastAsia="en-AU"/>
        </w:rPr>
        <w:br/>
        <w:t>1 July 2014.</w:t>
      </w:r>
    </w:p>
    <w:p w:rsidR="004C1E01" w:rsidRPr="004916BD" w:rsidRDefault="00DE2991" w:rsidP="00DE2991">
      <w:pPr>
        <w:pStyle w:val="CABNETParagraph"/>
        <w:numPr>
          <w:ilvl w:val="0"/>
          <w:numId w:val="2"/>
        </w:numPr>
        <w:rPr>
          <w:rFonts w:ascii="Times New Roman" w:hAnsi="Times New Roman" w:cs="Times New Roman"/>
          <w:sz w:val="24"/>
          <w:szCs w:val="24"/>
          <w:lang w:eastAsia="en-AU"/>
        </w:rPr>
      </w:pPr>
      <w:r w:rsidRPr="004916BD">
        <w:rPr>
          <w:rFonts w:ascii="Times New Roman" w:hAnsi="Times New Roman" w:cs="Times New Roman"/>
          <w:sz w:val="24"/>
          <w:szCs w:val="24"/>
          <w:lang w:eastAsia="en-AU"/>
        </w:rPr>
        <w:t xml:space="preserve">The </w:t>
      </w:r>
      <w:r w:rsidR="0009603A">
        <w:rPr>
          <w:rFonts w:ascii="Times New Roman" w:hAnsi="Times New Roman" w:cs="Times New Roman"/>
          <w:sz w:val="24"/>
          <w:szCs w:val="24"/>
          <w:lang w:eastAsia="en-AU"/>
        </w:rPr>
        <w:t>keystone</w:t>
      </w:r>
      <w:r w:rsidRPr="004916BD">
        <w:rPr>
          <w:rFonts w:ascii="Times New Roman" w:hAnsi="Times New Roman" w:cs="Times New Roman"/>
          <w:sz w:val="24"/>
          <w:szCs w:val="24"/>
          <w:lang w:eastAsia="en-AU"/>
        </w:rPr>
        <w:t xml:space="preserve"> of </w:t>
      </w:r>
      <w:r w:rsidR="00743B4A">
        <w:rPr>
          <w:rFonts w:ascii="Times New Roman" w:hAnsi="Times New Roman" w:cs="Times New Roman"/>
          <w:sz w:val="24"/>
          <w:szCs w:val="24"/>
          <w:lang w:eastAsia="en-AU"/>
        </w:rPr>
        <w:t>s</w:t>
      </w:r>
      <w:r w:rsidRPr="004916BD">
        <w:rPr>
          <w:rFonts w:ascii="Times New Roman" w:hAnsi="Times New Roman" w:cs="Times New Roman"/>
          <w:sz w:val="24"/>
          <w:szCs w:val="24"/>
          <w:lang w:eastAsia="en-AU"/>
        </w:rPr>
        <w:t xml:space="preserve">tage </w:t>
      </w:r>
      <w:r w:rsidR="007D7249" w:rsidRPr="004916BD">
        <w:rPr>
          <w:rFonts w:ascii="Times New Roman" w:hAnsi="Times New Roman" w:cs="Times New Roman"/>
          <w:sz w:val="24"/>
          <w:szCs w:val="24"/>
          <w:lang w:eastAsia="en-AU"/>
        </w:rPr>
        <w:t>two</w:t>
      </w:r>
      <w:r w:rsidRPr="004916BD">
        <w:rPr>
          <w:rFonts w:ascii="Times New Roman" w:hAnsi="Times New Roman" w:cs="Times New Roman"/>
          <w:sz w:val="24"/>
          <w:szCs w:val="24"/>
          <w:lang w:eastAsia="en-AU"/>
        </w:rPr>
        <w:t xml:space="preserve"> of the PMRA w</w:t>
      </w:r>
      <w:r w:rsidR="003D0ED5">
        <w:rPr>
          <w:rFonts w:ascii="Times New Roman" w:hAnsi="Times New Roman" w:cs="Times New Roman"/>
          <w:sz w:val="24"/>
          <w:szCs w:val="24"/>
          <w:lang w:eastAsia="en-AU"/>
        </w:rPr>
        <w:t>as</w:t>
      </w:r>
      <w:r w:rsidRPr="004916BD">
        <w:rPr>
          <w:rFonts w:ascii="Times New Roman" w:hAnsi="Times New Roman" w:cs="Times New Roman"/>
          <w:sz w:val="24"/>
          <w:szCs w:val="24"/>
          <w:lang w:eastAsia="en-AU"/>
        </w:rPr>
        <w:t xml:space="preserve"> </w:t>
      </w:r>
      <w:r w:rsidR="004C1E01" w:rsidRPr="004916BD">
        <w:rPr>
          <w:rFonts w:ascii="Times New Roman" w:hAnsi="Times New Roman" w:cs="Times New Roman"/>
          <w:sz w:val="24"/>
          <w:szCs w:val="24"/>
          <w:lang w:eastAsia="en-AU"/>
        </w:rPr>
        <w:t>the enhanced Commonwealth Performance Framework, including annual report</w:t>
      </w:r>
      <w:r w:rsidR="0009603A">
        <w:rPr>
          <w:rFonts w:ascii="Times New Roman" w:hAnsi="Times New Roman" w:cs="Times New Roman"/>
          <w:sz w:val="24"/>
          <w:szCs w:val="24"/>
          <w:lang w:eastAsia="en-AU"/>
        </w:rPr>
        <w:t>s</w:t>
      </w:r>
      <w:r w:rsidR="009F7AA7">
        <w:rPr>
          <w:rFonts w:ascii="Times New Roman" w:hAnsi="Times New Roman" w:cs="Times New Roman"/>
          <w:sz w:val="24"/>
          <w:szCs w:val="24"/>
          <w:lang w:eastAsia="en-AU"/>
        </w:rPr>
        <w:t xml:space="preserve">. Stage two also </w:t>
      </w:r>
      <w:r w:rsidR="00A81FB2">
        <w:rPr>
          <w:rFonts w:ascii="Times New Roman" w:hAnsi="Times New Roman" w:cs="Times New Roman"/>
          <w:sz w:val="24"/>
          <w:szCs w:val="24"/>
          <w:lang w:eastAsia="en-AU"/>
        </w:rPr>
        <w:t>involved the</w:t>
      </w:r>
      <w:r w:rsidR="003D0ED5">
        <w:rPr>
          <w:rFonts w:ascii="Times New Roman" w:hAnsi="Times New Roman" w:cs="Times New Roman"/>
          <w:sz w:val="24"/>
          <w:szCs w:val="24"/>
          <w:lang w:eastAsia="en-AU"/>
        </w:rPr>
        <w:t xml:space="preserve"> development of a</w:t>
      </w:r>
      <w:r w:rsidR="004C1E01" w:rsidRPr="004916BD">
        <w:rPr>
          <w:rFonts w:ascii="Times New Roman" w:hAnsi="Times New Roman" w:cs="Times New Roman"/>
          <w:sz w:val="24"/>
          <w:szCs w:val="24"/>
          <w:lang w:eastAsia="en-AU"/>
        </w:rPr>
        <w:t xml:space="preserve"> differential regulation</w:t>
      </w:r>
      <w:r w:rsidR="003D0ED5">
        <w:rPr>
          <w:rFonts w:ascii="Times New Roman" w:hAnsi="Times New Roman" w:cs="Times New Roman"/>
          <w:sz w:val="24"/>
          <w:szCs w:val="24"/>
          <w:lang w:eastAsia="en-AU"/>
        </w:rPr>
        <w:t xml:space="preserve"> approach</w:t>
      </w:r>
      <w:r w:rsidR="004C1E01" w:rsidRPr="004916BD">
        <w:rPr>
          <w:rFonts w:ascii="Times New Roman" w:hAnsi="Times New Roman" w:cs="Times New Roman"/>
          <w:sz w:val="24"/>
          <w:szCs w:val="24"/>
          <w:lang w:eastAsia="en-AU"/>
        </w:rPr>
        <w:t>.</w:t>
      </w:r>
    </w:p>
    <w:p w:rsidR="004C1E01" w:rsidRPr="007927F9" w:rsidRDefault="00E46B22" w:rsidP="004C1E01">
      <w:pPr>
        <w:rPr>
          <w:rFonts w:ascii="Times New Roman" w:hAnsi="Times New Roman" w:cs="Times New Roman"/>
          <w:b/>
          <w:i/>
          <w:sz w:val="24"/>
          <w:szCs w:val="24"/>
        </w:rPr>
      </w:pPr>
      <w:r>
        <w:rPr>
          <w:rFonts w:ascii="Times New Roman" w:hAnsi="Times New Roman" w:cs="Times New Roman"/>
          <w:b/>
          <w:i/>
          <w:sz w:val="24"/>
          <w:szCs w:val="24"/>
        </w:rPr>
        <w:br/>
      </w:r>
      <w:r w:rsidR="004C1E01" w:rsidRPr="007927F9">
        <w:rPr>
          <w:rFonts w:ascii="Times New Roman" w:hAnsi="Times New Roman" w:cs="Times New Roman"/>
          <w:b/>
          <w:i/>
          <w:sz w:val="24"/>
          <w:szCs w:val="24"/>
        </w:rPr>
        <w:t>Enhanced Commonwealth Performance Framework</w:t>
      </w:r>
    </w:p>
    <w:p w:rsidR="000D6B34" w:rsidRDefault="000D6B34" w:rsidP="000D6B34">
      <w:pPr>
        <w:pStyle w:val="CABNETParagraph"/>
        <w:numPr>
          <w:ilvl w:val="0"/>
          <w:numId w:val="2"/>
        </w:numPr>
        <w:rPr>
          <w:rFonts w:ascii="Times New Roman" w:hAnsi="Times New Roman" w:cs="Times New Roman"/>
          <w:sz w:val="24"/>
          <w:szCs w:val="24"/>
          <w:lang w:eastAsia="en-AU"/>
        </w:rPr>
      </w:pPr>
      <w:r>
        <w:rPr>
          <w:rFonts w:ascii="Times New Roman" w:hAnsi="Times New Roman" w:cs="Times New Roman"/>
          <w:sz w:val="24"/>
          <w:szCs w:val="24"/>
          <w:lang w:eastAsia="en-AU"/>
        </w:rPr>
        <w:t>In April 2015, Rules were put in place to require Commonwealth entities to produce corporate plans and annual performance statements as part of their annual reports.</w:t>
      </w:r>
    </w:p>
    <w:p w:rsidR="000D6B34" w:rsidRPr="004916BD" w:rsidRDefault="000D6B34" w:rsidP="000D6B34">
      <w:pPr>
        <w:pStyle w:val="CABNETParagraph"/>
        <w:numPr>
          <w:ilvl w:val="0"/>
          <w:numId w:val="2"/>
        </w:numPr>
        <w:rPr>
          <w:rFonts w:ascii="Times New Roman" w:hAnsi="Times New Roman" w:cs="Times New Roman"/>
          <w:sz w:val="24"/>
          <w:szCs w:val="24"/>
          <w:lang w:eastAsia="en-AU"/>
        </w:rPr>
      </w:pPr>
      <w:r w:rsidRPr="004916BD">
        <w:rPr>
          <w:rFonts w:ascii="Times New Roman" w:hAnsi="Times New Roman" w:cs="Times New Roman"/>
          <w:sz w:val="24"/>
          <w:szCs w:val="24"/>
          <w:lang w:eastAsia="en-AU"/>
        </w:rPr>
        <w:t>The</w:t>
      </w:r>
      <w:r>
        <w:rPr>
          <w:rFonts w:ascii="Times New Roman" w:hAnsi="Times New Roman" w:cs="Times New Roman"/>
          <w:sz w:val="24"/>
          <w:szCs w:val="24"/>
          <w:lang w:eastAsia="en-AU"/>
        </w:rPr>
        <w:t>se</w:t>
      </w:r>
      <w:r w:rsidRPr="004916BD">
        <w:rPr>
          <w:rFonts w:ascii="Times New Roman" w:hAnsi="Times New Roman" w:cs="Times New Roman"/>
          <w:sz w:val="24"/>
          <w:szCs w:val="24"/>
          <w:lang w:eastAsia="en-AU"/>
        </w:rPr>
        <w:t xml:space="preserve"> new </w:t>
      </w:r>
      <w:r>
        <w:rPr>
          <w:rFonts w:ascii="Times New Roman" w:hAnsi="Times New Roman" w:cs="Times New Roman"/>
          <w:sz w:val="24"/>
          <w:szCs w:val="24"/>
          <w:lang w:eastAsia="en-AU"/>
        </w:rPr>
        <w:t xml:space="preserve">requirements for </w:t>
      </w:r>
      <w:r w:rsidRPr="004916BD">
        <w:rPr>
          <w:rFonts w:ascii="Times New Roman" w:hAnsi="Times New Roman" w:cs="Times New Roman"/>
          <w:sz w:val="24"/>
          <w:szCs w:val="24"/>
          <w:lang w:eastAsia="en-AU"/>
        </w:rPr>
        <w:t>annual report</w:t>
      </w:r>
      <w:r>
        <w:rPr>
          <w:rFonts w:ascii="Times New Roman" w:hAnsi="Times New Roman" w:cs="Times New Roman"/>
          <w:sz w:val="24"/>
          <w:szCs w:val="24"/>
          <w:lang w:eastAsia="en-AU"/>
        </w:rPr>
        <w:t>s, introduced in 2016,</w:t>
      </w:r>
      <w:r w:rsidRPr="004916BD">
        <w:rPr>
          <w:rFonts w:ascii="Times New Roman" w:hAnsi="Times New Roman" w:cs="Times New Roman"/>
          <w:sz w:val="24"/>
          <w:szCs w:val="24"/>
          <w:lang w:eastAsia="en-AU"/>
        </w:rPr>
        <w:t xml:space="preserve"> replace</w:t>
      </w:r>
      <w:r>
        <w:rPr>
          <w:rFonts w:ascii="Times New Roman" w:hAnsi="Times New Roman" w:cs="Times New Roman"/>
          <w:sz w:val="24"/>
          <w:szCs w:val="24"/>
          <w:lang w:eastAsia="en-AU"/>
        </w:rPr>
        <w:t>d</w:t>
      </w:r>
      <w:r w:rsidRPr="004916BD">
        <w:rPr>
          <w:rFonts w:ascii="Times New Roman" w:hAnsi="Times New Roman" w:cs="Times New Roman"/>
          <w:sz w:val="24"/>
          <w:szCs w:val="24"/>
          <w:lang w:eastAsia="en-AU"/>
        </w:rPr>
        <w:t xml:space="preserve"> the annual report arrangements under the </w:t>
      </w:r>
      <w:r w:rsidRPr="004916BD">
        <w:rPr>
          <w:rFonts w:ascii="Times New Roman" w:hAnsi="Times New Roman" w:cs="Times New Roman"/>
          <w:i/>
          <w:sz w:val="24"/>
          <w:szCs w:val="24"/>
          <w:lang w:eastAsia="en-AU"/>
        </w:rPr>
        <w:t>Public Service Act 1999</w:t>
      </w:r>
      <w:r w:rsidRPr="004916BD">
        <w:rPr>
          <w:rFonts w:ascii="Times New Roman" w:hAnsi="Times New Roman" w:cs="Times New Roman"/>
          <w:sz w:val="24"/>
          <w:szCs w:val="24"/>
          <w:lang w:eastAsia="en-AU"/>
        </w:rPr>
        <w:t xml:space="preserve">, the </w:t>
      </w:r>
      <w:r w:rsidRPr="004916BD">
        <w:rPr>
          <w:rFonts w:ascii="Times New Roman" w:hAnsi="Times New Roman" w:cs="Times New Roman"/>
          <w:i/>
          <w:sz w:val="24"/>
          <w:szCs w:val="24"/>
          <w:lang w:eastAsia="en-AU"/>
        </w:rPr>
        <w:t>Parliamentary Service Act 1999</w:t>
      </w:r>
      <w:r w:rsidRPr="004916BD">
        <w:rPr>
          <w:rFonts w:ascii="Times New Roman" w:hAnsi="Times New Roman" w:cs="Times New Roman"/>
          <w:sz w:val="24"/>
          <w:szCs w:val="24"/>
          <w:lang w:eastAsia="en-AU"/>
        </w:rPr>
        <w:t xml:space="preserve"> and the </w:t>
      </w:r>
      <w:r w:rsidRPr="004916BD">
        <w:rPr>
          <w:rFonts w:ascii="Times New Roman" w:hAnsi="Times New Roman" w:cs="Times New Roman"/>
          <w:i/>
          <w:sz w:val="24"/>
          <w:szCs w:val="24"/>
          <w:lang w:eastAsia="en-AU"/>
        </w:rPr>
        <w:t>Commonwealth Authorities and Companies Act 1997</w:t>
      </w:r>
      <w:r>
        <w:rPr>
          <w:rFonts w:ascii="Times New Roman" w:hAnsi="Times New Roman" w:cs="Times New Roman"/>
          <w:i/>
          <w:sz w:val="24"/>
          <w:szCs w:val="24"/>
          <w:lang w:eastAsia="en-AU"/>
        </w:rPr>
        <w:t xml:space="preserve">. </w:t>
      </w:r>
      <w:r>
        <w:rPr>
          <w:rFonts w:ascii="Times New Roman" w:hAnsi="Times New Roman" w:cs="Times New Roman"/>
          <w:sz w:val="24"/>
          <w:szCs w:val="24"/>
          <w:lang w:eastAsia="en-AU"/>
        </w:rPr>
        <w:t>T</w:t>
      </w:r>
      <w:r w:rsidRPr="004916BD">
        <w:rPr>
          <w:rFonts w:ascii="Times New Roman" w:hAnsi="Times New Roman" w:cs="Times New Roman"/>
          <w:sz w:val="24"/>
          <w:szCs w:val="24"/>
          <w:lang w:eastAsia="en-AU"/>
        </w:rPr>
        <w:t xml:space="preserve">ogether with the new </w:t>
      </w:r>
      <w:r>
        <w:rPr>
          <w:rFonts w:ascii="Times New Roman" w:hAnsi="Times New Roman" w:cs="Times New Roman"/>
          <w:sz w:val="24"/>
          <w:szCs w:val="24"/>
          <w:lang w:eastAsia="en-AU"/>
        </w:rPr>
        <w:t>requirements</w:t>
      </w:r>
      <w:r w:rsidRPr="004916BD">
        <w:rPr>
          <w:rFonts w:ascii="Times New Roman" w:hAnsi="Times New Roman" w:cs="Times New Roman"/>
          <w:sz w:val="24"/>
          <w:szCs w:val="24"/>
          <w:lang w:eastAsia="en-AU"/>
        </w:rPr>
        <w:t xml:space="preserve"> for corporate plans and annual performance statements</w:t>
      </w:r>
      <w:r>
        <w:rPr>
          <w:rFonts w:ascii="Times New Roman" w:hAnsi="Times New Roman" w:cs="Times New Roman"/>
          <w:sz w:val="24"/>
          <w:szCs w:val="24"/>
          <w:lang w:eastAsia="en-AU"/>
        </w:rPr>
        <w:t xml:space="preserve"> introduced by the PGPA Act</w:t>
      </w:r>
      <w:r w:rsidRPr="004916BD">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they comprise the </w:t>
      </w:r>
      <w:r w:rsidRPr="004916BD">
        <w:rPr>
          <w:rFonts w:ascii="Times New Roman" w:hAnsi="Times New Roman" w:cs="Times New Roman"/>
          <w:sz w:val="24"/>
          <w:szCs w:val="24"/>
          <w:lang w:eastAsia="en-AU"/>
        </w:rPr>
        <w:t xml:space="preserve">enhanced Commonwealth </w:t>
      </w:r>
      <w:r>
        <w:rPr>
          <w:rFonts w:ascii="Times New Roman" w:hAnsi="Times New Roman" w:cs="Times New Roman"/>
          <w:sz w:val="24"/>
          <w:szCs w:val="24"/>
          <w:lang w:eastAsia="en-AU"/>
        </w:rPr>
        <w:t>P</w:t>
      </w:r>
      <w:r w:rsidRPr="004916BD">
        <w:rPr>
          <w:rFonts w:ascii="Times New Roman" w:hAnsi="Times New Roman" w:cs="Times New Roman"/>
          <w:sz w:val="24"/>
          <w:szCs w:val="24"/>
          <w:lang w:eastAsia="en-AU"/>
        </w:rPr>
        <w:t xml:space="preserve">erformance </w:t>
      </w:r>
      <w:r>
        <w:rPr>
          <w:rFonts w:ascii="Times New Roman" w:hAnsi="Times New Roman" w:cs="Times New Roman"/>
          <w:sz w:val="24"/>
          <w:szCs w:val="24"/>
          <w:lang w:eastAsia="en-AU"/>
        </w:rPr>
        <w:t>F</w:t>
      </w:r>
      <w:r w:rsidRPr="004916BD">
        <w:rPr>
          <w:rFonts w:ascii="Times New Roman" w:hAnsi="Times New Roman" w:cs="Times New Roman"/>
          <w:sz w:val="24"/>
          <w:szCs w:val="24"/>
          <w:lang w:eastAsia="en-AU"/>
        </w:rPr>
        <w:t xml:space="preserve">ramework. Importantly, there is some flexibility </w:t>
      </w:r>
      <w:r>
        <w:rPr>
          <w:rFonts w:ascii="Times New Roman" w:hAnsi="Times New Roman" w:cs="Times New Roman"/>
          <w:sz w:val="24"/>
          <w:szCs w:val="24"/>
          <w:lang w:eastAsia="en-AU"/>
        </w:rPr>
        <w:t>in</w:t>
      </w:r>
      <w:r w:rsidRPr="004916BD">
        <w:rPr>
          <w:rFonts w:ascii="Times New Roman" w:hAnsi="Times New Roman" w:cs="Times New Roman"/>
          <w:sz w:val="24"/>
          <w:szCs w:val="24"/>
          <w:lang w:eastAsia="en-AU"/>
        </w:rPr>
        <w:t xml:space="preserve"> these requirements, recognising the varied circumstances that apply across the breadth of Commonwealth activities. The framework requires entities to put in place performance measurement and reporting arrangements to demonstrate how they are achieving their purposes.</w:t>
      </w:r>
    </w:p>
    <w:p w:rsidR="000D6B34" w:rsidRPr="004916BD" w:rsidRDefault="000D6B34" w:rsidP="000D6B34">
      <w:pPr>
        <w:pStyle w:val="ListParagraph"/>
        <w:numPr>
          <w:ilvl w:val="0"/>
          <w:numId w:val="2"/>
        </w:numPr>
        <w:rPr>
          <w:rFonts w:ascii="Times New Roman" w:hAnsi="Times New Roman"/>
          <w:sz w:val="24"/>
          <w:szCs w:val="24"/>
        </w:rPr>
      </w:pPr>
      <w:r w:rsidRPr="004916BD">
        <w:rPr>
          <w:rFonts w:ascii="Times New Roman" w:hAnsi="Times New Roman"/>
          <w:sz w:val="24"/>
          <w:szCs w:val="24"/>
        </w:rPr>
        <w:t xml:space="preserve">Past attempts to improve the quality of performance information in the Commonwealth have had mixed results, in part because insufficient attention has been given to assisting and embedding change in the system. </w:t>
      </w:r>
      <w:r>
        <w:rPr>
          <w:rFonts w:ascii="Times New Roman" w:hAnsi="Times New Roman"/>
          <w:sz w:val="24"/>
          <w:szCs w:val="24"/>
        </w:rPr>
        <w:t>Under the enhanced Commonwealth Performance Framework, Finance has provided</w:t>
      </w:r>
      <w:r w:rsidRPr="004916BD">
        <w:rPr>
          <w:rFonts w:ascii="Times New Roman" w:hAnsi="Times New Roman"/>
          <w:sz w:val="24"/>
          <w:szCs w:val="24"/>
        </w:rPr>
        <w:t xml:space="preserve"> </w:t>
      </w:r>
      <w:r w:rsidRPr="004832AB">
        <w:rPr>
          <w:rFonts w:ascii="Times New Roman" w:hAnsi="Times New Roman"/>
          <w:sz w:val="24"/>
          <w:szCs w:val="24"/>
        </w:rPr>
        <w:t xml:space="preserve">professional guidance and assistance to entities to </w:t>
      </w:r>
      <w:r>
        <w:rPr>
          <w:rFonts w:ascii="Times New Roman" w:hAnsi="Times New Roman"/>
          <w:sz w:val="24"/>
          <w:szCs w:val="24"/>
        </w:rPr>
        <w:t>help</w:t>
      </w:r>
      <w:r w:rsidRPr="004832AB">
        <w:rPr>
          <w:rFonts w:ascii="Times New Roman" w:hAnsi="Times New Roman"/>
          <w:sz w:val="24"/>
          <w:szCs w:val="24"/>
        </w:rPr>
        <w:t xml:space="preserve"> implement the reforms, including</w:t>
      </w:r>
      <w:r>
        <w:rPr>
          <w:rFonts w:ascii="Times New Roman" w:hAnsi="Times New Roman"/>
          <w:sz w:val="24"/>
          <w:szCs w:val="24"/>
        </w:rPr>
        <w:t>,</w:t>
      </w:r>
      <w:r w:rsidRPr="004832AB">
        <w:rPr>
          <w:rFonts w:ascii="Times New Roman" w:hAnsi="Times New Roman"/>
          <w:sz w:val="24"/>
          <w:szCs w:val="24"/>
        </w:rPr>
        <w:t xml:space="preserve"> for example, by publishing written guidance in the form of Resource Management Guides</w:t>
      </w:r>
      <w:r w:rsidR="002D57DA">
        <w:rPr>
          <w:rFonts w:ascii="Times New Roman" w:hAnsi="Times New Roman"/>
          <w:sz w:val="24"/>
          <w:szCs w:val="24"/>
        </w:rPr>
        <w:t xml:space="preserve"> (RMGs)</w:t>
      </w:r>
      <w:r w:rsidRPr="004832AB">
        <w:rPr>
          <w:rFonts w:ascii="Times New Roman" w:hAnsi="Times New Roman"/>
          <w:sz w:val="24"/>
          <w:szCs w:val="24"/>
        </w:rPr>
        <w:t xml:space="preserve">, holding Community of Practice events in Canberra and interstate, reviewing draft corporate plans </w:t>
      </w:r>
      <w:r>
        <w:rPr>
          <w:rFonts w:ascii="Times New Roman" w:hAnsi="Times New Roman"/>
          <w:sz w:val="24"/>
          <w:szCs w:val="24"/>
        </w:rPr>
        <w:t xml:space="preserve">and annual performance statements </w:t>
      </w:r>
      <w:r w:rsidRPr="004832AB">
        <w:rPr>
          <w:rFonts w:ascii="Times New Roman" w:hAnsi="Times New Roman"/>
          <w:sz w:val="24"/>
          <w:szCs w:val="24"/>
        </w:rPr>
        <w:t xml:space="preserve">on behalf of entities, </w:t>
      </w:r>
      <w:r>
        <w:rPr>
          <w:rFonts w:ascii="Times New Roman" w:hAnsi="Times New Roman"/>
          <w:sz w:val="24"/>
          <w:szCs w:val="24"/>
        </w:rPr>
        <w:t xml:space="preserve">and </w:t>
      </w:r>
      <w:r w:rsidRPr="004832AB">
        <w:rPr>
          <w:rFonts w:ascii="Times New Roman" w:hAnsi="Times New Roman"/>
          <w:sz w:val="24"/>
          <w:szCs w:val="24"/>
        </w:rPr>
        <w:t>releasing</w:t>
      </w:r>
      <w:r>
        <w:rPr>
          <w:rFonts w:ascii="Times New Roman" w:hAnsi="Times New Roman"/>
          <w:sz w:val="24"/>
          <w:szCs w:val="24"/>
        </w:rPr>
        <w:t xml:space="preserve"> regular PMRA newsletters and email broadcasts to keep entities informed of emerging better practice and other developments. This work was reviewed </w:t>
      </w:r>
      <w:r w:rsidRPr="004916BD">
        <w:rPr>
          <w:rFonts w:ascii="Times New Roman" w:hAnsi="Times New Roman"/>
          <w:sz w:val="24"/>
          <w:szCs w:val="24"/>
        </w:rPr>
        <w:t xml:space="preserve">by the </w:t>
      </w:r>
      <w:r w:rsidR="00862121">
        <w:rPr>
          <w:rFonts w:ascii="Times New Roman" w:hAnsi="Times New Roman"/>
          <w:sz w:val="24"/>
          <w:szCs w:val="24"/>
        </w:rPr>
        <w:t>Australian National Audit Office (</w:t>
      </w:r>
      <w:r w:rsidRPr="004916BD">
        <w:rPr>
          <w:rFonts w:ascii="Times New Roman" w:hAnsi="Times New Roman"/>
          <w:sz w:val="24"/>
          <w:szCs w:val="24"/>
        </w:rPr>
        <w:t>ANAO</w:t>
      </w:r>
      <w:r w:rsidR="00862121">
        <w:rPr>
          <w:rFonts w:ascii="Times New Roman" w:hAnsi="Times New Roman"/>
          <w:sz w:val="24"/>
          <w:szCs w:val="24"/>
        </w:rPr>
        <w:t>)</w:t>
      </w:r>
      <w:r>
        <w:rPr>
          <w:rFonts w:ascii="Times New Roman" w:hAnsi="Times New Roman"/>
          <w:sz w:val="24"/>
          <w:szCs w:val="24"/>
        </w:rPr>
        <w:t xml:space="preserve"> and in its </w:t>
      </w:r>
      <w:r w:rsidRPr="004832AB">
        <w:rPr>
          <w:rFonts w:ascii="Times New Roman" w:hAnsi="Times New Roman"/>
          <w:sz w:val="24"/>
          <w:szCs w:val="24"/>
        </w:rPr>
        <w:t>report</w:t>
      </w:r>
      <w:r>
        <w:rPr>
          <w:rFonts w:ascii="Times New Roman" w:hAnsi="Times New Roman"/>
          <w:sz w:val="24"/>
          <w:szCs w:val="24"/>
        </w:rPr>
        <w:t xml:space="preserve"> No.6, 2016-17</w:t>
      </w:r>
      <w:r w:rsidRPr="004832AB">
        <w:rPr>
          <w:rFonts w:ascii="Times New Roman" w:hAnsi="Times New Roman"/>
          <w:sz w:val="24"/>
          <w:szCs w:val="24"/>
        </w:rPr>
        <w:t>,</w:t>
      </w:r>
      <w:r>
        <w:rPr>
          <w:rFonts w:ascii="Times New Roman" w:hAnsi="Times New Roman"/>
          <w:sz w:val="24"/>
          <w:szCs w:val="24"/>
        </w:rPr>
        <w:t xml:space="preserve"> </w:t>
      </w:r>
      <w:r w:rsidRPr="00052292">
        <w:rPr>
          <w:rFonts w:ascii="Times New Roman" w:hAnsi="Times New Roman"/>
          <w:i/>
          <w:sz w:val="24"/>
          <w:szCs w:val="24"/>
        </w:rPr>
        <w:t>Corporate Planning in the Australian Public Sector</w:t>
      </w:r>
      <w:r>
        <w:rPr>
          <w:rStyle w:val="FootnoteReference"/>
          <w:rFonts w:ascii="Times New Roman" w:hAnsi="Times New Roman"/>
          <w:i/>
          <w:sz w:val="24"/>
          <w:szCs w:val="24"/>
        </w:rPr>
        <w:footnoteReference w:id="1"/>
      </w:r>
      <w:r w:rsidRPr="004916BD">
        <w:rPr>
          <w:rFonts w:ascii="Times New Roman" w:hAnsi="Times New Roman"/>
          <w:sz w:val="24"/>
          <w:szCs w:val="24"/>
        </w:rPr>
        <w:t xml:space="preserve"> and found to be “effective” with “high levels of satisfaction” expressed by entities. </w:t>
      </w:r>
    </w:p>
    <w:p w:rsidR="000D6B34" w:rsidRDefault="000D6B34" w:rsidP="000D6B34">
      <w:pPr>
        <w:pStyle w:val="CABNETParagraph"/>
        <w:numPr>
          <w:ilvl w:val="0"/>
          <w:numId w:val="2"/>
        </w:numPr>
        <w:rPr>
          <w:rFonts w:ascii="Times New Roman" w:hAnsi="Times New Roman" w:cs="Times New Roman"/>
          <w:sz w:val="24"/>
          <w:szCs w:val="24"/>
          <w:lang w:eastAsia="en-AU"/>
        </w:rPr>
      </w:pPr>
      <w:r w:rsidRPr="004916BD">
        <w:rPr>
          <w:rFonts w:ascii="Times New Roman" w:hAnsi="Times New Roman" w:cs="Times New Roman"/>
          <w:sz w:val="24"/>
          <w:szCs w:val="24"/>
          <w:lang w:eastAsia="en-AU"/>
        </w:rPr>
        <w:t>Finance continu</w:t>
      </w:r>
      <w:r>
        <w:rPr>
          <w:rFonts w:ascii="Times New Roman" w:hAnsi="Times New Roman" w:cs="Times New Roman"/>
          <w:sz w:val="24"/>
          <w:szCs w:val="24"/>
          <w:lang w:eastAsia="en-AU"/>
        </w:rPr>
        <w:t>es</w:t>
      </w:r>
      <w:r w:rsidRPr="004916BD">
        <w:rPr>
          <w:rFonts w:ascii="Times New Roman" w:hAnsi="Times New Roman" w:cs="Times New Roman"/>
          <w:sz w:val="24"/>
          <w:szCs w:val="24"/>
          <w:lang w:eastAsia="en-AU"/>
        </w:rPr>
        <w:t xml:space="preserve"> to comment on draft corporate plans and annual p</w:t>
      </w:r>
      <w:r>
        <w:rPr>
          <w:rFonts w:ascii="Times New Roman" w:hAnsi="Times New Roman" w:cs="Times New Roman"/>
          <w:sz w:val="24"/>
          <w:szCs w:val="24"/>
          <w:lang w:eastAsia="en-AU"/>
        </w:rPr>
        <w:t>erformance statements and hold</w:t>
      </w:r>
      <w:r w:rsidRPr="004916BD">
        <w:rPr>
          <w:rFonts w:ascii="Times New Roman" w:hAnsi="Times New Roman" w:cs="Times New Roman"/>
          <w:sz w:val="24"/>
          <w:szCs w:val="24"/>
          <w:lang w:eastAsia="en-AU"/>
        </w:rPr>
        <w:t xml:space="preserve"> community of practice meetings</w:t>
      </w:r>
      <w:r>
        <w:rPr>
          <w:rFonts w:ascii="Times New Roman" w:hAnsi="Times New Roman" w:cs="Times New Roman"/>
          <w:sz w:val="24"/>
          <w:szCs w:val="24"/>
          <w:lang w:eastAsia="en-AU"/>
        </w:rPr>
        <w:t>, supported by the publication of Lessons Learned papers for each round of reporting. This informs our regular review of guidance documents to support the development of b</w:t>
      </w:r>
      <w:r w:rsidRPr="004916BD">
        <w:rPr>
          <w:rFonts w:ascii="Times New Roman" w:hAnsi="Times New Roman" w:cs="Times New Roman"/>
          <w:sz w:val="24"/>
          <w:szCs w:val="24"/>
          <w:lang w:eastAsia="en-AU"/>
        </w:rPr>
        <w:t xml:space="preserve">etter performance </w:t>
      </w:r>
      <w:r>
        <w:rPr>
          <w:rFonts w:ascii="Times New Roman" w:hAnsi="Times New Roman" w:cs="Times New Roman"/>
          <w:sz w:val="24"/>
          <w:szCs w:val="24"/>
          <w:lang w:eastAsia="en-AU"/>
        </w:rPr>
        <w:t>information</w:t>
      </w:r>
      <w:r w:rsidRPr="004916BD">
        <w:rPr>
          <w:rFonts w:ascii="Times New Roman" w:hAnsi="Times New Roman" w:cs="Times New Roman"/>
          <w:sz w:val="24"/>
          <w:szCs w:val="24"/>
          <w:lang w:eastAsia="en-AU"/>
        </w:rPr>
        <w:t>. Work in this area is continuing</w:t>
      </w:r>
      <w:r>
        <w:rPr>
          <w:rFonts w:ascii="Times New Roman" w:hAnsi="Times New Roman" w:cs="Times New Roman"/>
          <w:sz w:val="24"/>
          <w:szCs w:val="24"/>
          <w:lang w:eastAsia="en-AU"/>
        </w:rPr>
        <w:t>, and our judgement is that a better system is emerging, albeit slowly</w:t>
      </w:r>
      <w:r w:rsidRPr="004916BD">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Consistent with previous evidence to the Committee, we believe it will take three to five reporting cycles for mature practice to emerge.</w:t>
      </w:r>
    </w:p>
    <w:p w:rsidR="000D6B34" w:rsidRPr="00B26E9A" w:rsidRDefault="000D6B34" w:rsidP="000D6B34">
      <w:pPr>
        <w:pStyle w:val="CABNETParagraph"/>
        <w:numPr>
          <w:ilvl w:val="0"/>
          <w:numId w:val="2"/>
        </w:numPr>
        <w:rPr>
          <w:rFonts w:ascii="Times New Roman" w:hAnsi="Times New Roman" w:cs="Times New Roman"/>
          <w:sz w:val="24"/>
          <w:szCs w:val="24"/>
          <w:lang w:eastAsia="en-AU"/>
        </w:rPr>
      </w:pPr>
      <w:r w:rsidRPr="00B26E9A">
        <w:rPr>
          <w:rFonts w:ascii="Times New Roman" w:hAnsi="Times New Roman" w:cs="Times New Roman"/>
          <w:sz w:val="24"/>
          <w:szCs w:val="24"/>
          <w:lang w:eastAsia="en-AU"/>
        </w:rPr>
        <w:t xml:space="preserve">On 3 March 2017, the Finance Secretary issued a revised Direction on Requirements for Performance Information included in Portfolio Budget Statements (PBS) to give effect to the Committee’s decision to no longer require entities to include their most recent Annual Performance Statements in their 2017-18 (and subsequent) PBS. </w:t>
      </w:r>
      <w:r>
        <w:rPr>
          <w:rFonts w:ascii="Times New Roman" w:hAnsi="Times New Roman" w:cs="Times New Roman"/>
          <w:sz w:val="24"/>
          <w:szCs w:val="24"/>
          <w:lang w:eastAsia="en-AU"/>
        </w:rPr>
        <w:t xml:space="preserve">As requested by the Committee, entities provided a web address (hard copy) and link (e-copy) for their most recent Annual Performance Statement in their 2017-18 PBS. </w:t>
      </w:r>
    </w:p>
    <w:p w:rsidR="000D6B34" w:rsidRPr="00B811E1" w:rsidRDefault="000D6B34" w:rsidP="000D6B34">
      <w:pPr>
        <w:pStyle w:val="CABNETParagraph"/>
        <w:numPr>
          <w:ilvl w:val="0"/>
          <w:numId w:val="2"/>
        </w:numPr>
        <w:rPr>
          <w:rFonts w:ascii="Times New Roman" w:hAnsi="Times New Roman" w:cs="Times New Roman"/>
          <w:sz w:val="24"/>
          <w:szCs w:val="24"/>
          <w:lang w:eastAsia="en-AU"/>
        </w:rPr>
      </w:pPr>
      <w:r>
        <w:rPr>
          <w:rFonts w:ascii="Times New Roman" w:hAnsi="Times New Roman" w:cs="Times New Roman"/>
          <w:sz w:val="24"/>
          <w:szCs w:val="24"/>
          <w:lang w:eastAsia="en-AU"/>
        </w:rPr>
        <w:t>As requested by t</w:t>
      </w:r>
      <w:r w:rsidRPr="00B811E1">
        <w:rPr>
          <w:rFonts w:ascii="Times New Roman" w:hAnsi="Times New Roman" w:cs="Times New Roman"/>
          <w:sz w:val="24"/>
          <w:szCs w:val="24"/>
          <w:lang w:eastAsia="en-AU"/>
        </w:rPr>
        <w:t>he Committee</w:t>
      </w:r>
      <w:r>
        <w:rPr>
          <w:rFonts w:ascii="Times New Roman" w:hAnsi="Times New Roman" w:cs="Times New Roman"/>
          <w:sz w:val="24"/>
          <w:szCs w:val="24"/>
          <w:lang w:eastAsia="en-AU"/>
        </w:rPr>
        <w:t>,</w:t>
      </w:r>
      <w:r w:rsidRPr="00B811E1">
        <w:rPr>
          <w:rFonts w:ascii="Times New Roman" w:hAnsi="Times New Roman" w:cs="Times New Roman"/>
          <w:sz w:val="24"/>
          <w:szCs w:val="24"/>
          <w:lang w:eastAsia="en-AU"/>
        </w:rPr>
        <w:t xml:space="preserve"> Finance </w:t>
      </w:r>
      <w:r>
        <w:rPr>
          <w:rFonts w:ascii="Times New Roman" w:hAnsi="Times New Roman" w:cs="Times New Roman"/>
          <w:sz w:val="24"/>
          <w:szCs w:val="24"/>
          <w:lang w:eastAsia="en-AU"/>
        </w:rPr>
        <w:t xml:space="preserve">has </w:t>
      </w:r>
      <w:r w:rsidRPr="00B811E1">
        <w:rPr>
          <w:rFonts w:ascii="Times New Roman" w:hAnsi="Times New Roman" w:cs="Times New Roman"/>
          <w:sz w:val="24"/>
          <w:szCs w:val="24"/>
          <w:lang w:eastAsia="en-AU"/>
        </w:rPr>
        <w:t>develop</w:t>
      </w:r>
      <w:r>
        <w:rPr>
          <w:rFonts w:ascii="Times New Roman" w:hAnsi="Times New Roman" w:cs="Times New Roman"/>
          <w:sz w:val="24"/>
          <w:szCs w:val="24"/>
          <w:lang w:eastAsia="en-AU"/>
        </w:rPr>
        <w:t>ed</w:t>
      </w:r>
      <w:r w:rsidRPr="00B811E1">
        <w:rPr>
          <w:rFonts w:ascii="Times New Roman" w:hAnsi="Times New Roman" w:cs="Times New Roman"/>
          <w:sz w:val="24"/>
          <w:szCs w:val="24"/>
          <w:lang w:eastAsia="en-AU"/>
        </w:rPr>
        <w:t xml:space="preserve"> a standard navigation tool</w:t>
      </w:r>
      <w:r>
        <w:rPr>
          <w:rFonts w:ascii="Times New Roman" w:hAnsi="Times New Roman" w:cs="Times New Roman"/>
          <w:sz w:val="24"/>
          <w:szCs w:val="24"/>
          <w:lang w:eastAsia="en-AU"/>
        </w:rPr>
        <w:t xml:space="preserve"> that </w:t>
      </w:r>
      <w:r w:rsidRPr="00B811E1">
        <w:rPr>
          <w:rFonts w:ascii="Times New Roman" w:hAnsi="Times New Roman" w:cs="Times New Roman"/>
          <w:sz w:val="24"/>
          <w:szCs w:val="24"/>
          <w:lang w:eastAsia="en-AU"/>
        </w:rPr>
        <w:t>clearly communicates the key elements of the Commonwealth performance framework</w:t>
      </w:r>
      <w:r>
        <w:rPr>
          <w:rFonts w:ascii="Times New Roman" w:hAnsi="Times New Roman" w:cs="Times New Roman"/>
          <w:sz w:val="24"/>
          <w:szCs w:val="24"/>
          <w:lang w:eastAsia="en-AU"/>
        </w:rPr>
        <w:t xml:space="preserve"> that was included in 2017-18</w:t>
      </w:r>
      <w:r w:rsidRPr="00B811E1">
        <w:rPr>
          <w:rFonts w:ascii="Times New Roman" w:hAnsi="Times New Roman" w:cs="Times New Roman"/>
          <w:sz w:val="24"/>
          <w:szCs w:val="24"/>
          <w:lang w:eastAsia="en-AU"/>
        </w:rPr>
        <w:t xml:space="preserve"> PBS</w:t>
      </w:r>
      <w:r>
        <w:rPr>
          <w:rFonts w:ascii="Times New Roman" w:hAnsi="Times New Roman" w:cs="Times New Roman"/>
          <w:sz w:val="24"/>
          <w:szCs w:val="24"/>
          <w:lang w:eastAsia="en-AU"/>
        </w:rPr>
        <w:t>s.  It takes the form o</w:t>
      </w:r>
      <w:r w:rsidRPr="00B811E1">
        <w:rPr>
          <w:rFonts w:ascii="Times New Roman" w:hAnsi="Times New Roman" w:cs="Times New Roman"/>
          <w:sz w:val="24"/>
          <w:szCs w:val="24"/>
          <w:lang w:eastAsia="en-AU"/>
        </w:rPr>
        <w:t>f a schematic</w:t>
      </w:r>
      <w:r>
        <w:rPr>
          <w:rFonts w:ascii="Times New Roman" w:hAnsi="Times New Roman" w:cs="Times New Roman"/>
          <w:sz w:val="24"/>
          <w:szCs w:val="24"/>
          <w:lang w:eastAsia="en-AU"/>
        </w:rPr>
        <w:t>, which d</w:t>
      </w:r>
      <w:r w:rsidRPr="00B811E1">
        <w:rPr>
          <w:rFonts w:ascii="Times New Roman" w:hAnsi="Times New Roman" w:cs="Times New Roman"/>
          <w:sz w:val="24"/>
          <w:szCs w:val="24"/>
          <w:lang w:eastAsia="en-AU"/>
        </w:rPr>
        <w:t>etail</w:t>
      </w:r>
      <w:r>
        <w:rPr>
          <w:rFonts w:ascii="Times New Roman" w:hAnsi="Times New Roman" w:cs="Times New Roman"/>
          <w:sz w:val="24"/>
          <w:szCs w:val="24"/>
          <w:lang w:eastAsia="en-AU"/>
        </w:rPr>
        <w:t>s</w:t>
      </w:r>
      <w:r w:rsidRPr="00B811E1">
        <w:rPr>
          <w:rFonts w:ascii="Times New Roman" w:hAnsi="Times New Roman" w:cs="Times New Roman"/>
          <w:sz w:val="24"/>
          <w:szCs w:val="24"/>
          <w:lang w:eastAsia="en-AU"/>
        </w:rPr>
        <w:t xml:space="preserve"> how the performance documents link to each other across the performance cycle and explain</w:t>
      </w:r>
      <w:r w:rsidR="00862121">
        <w:rPr>
          <w:rFonts w:ascii="Times New Roman" w:hAnsi="Times New Roman" w:cs="Times New Roman"/>
          <w:sz w:val="24"/>
          <w:szCs w:val="24"/>
          <w:lang w:eastAsia="en-AU"/>
        </w:rPr>
        <w:t>s</w:t>
      </w:r>
      <w:r w:rsidRPr="00B811E1">
        <w:rPr>
          <w:rFonts w:ascii="Times New Roman" w:hAnsi="Times New Roman" w:cs="Times New Roman"/>
          <w:sz w:val="24"/>
          <w:szCs w:val="24"/>
          <w:lang w:eastAsia="en-AU"/>
        </w:rPr>
        <w:t xml:space="preserve"> what performance information is available from which document. </w:t>
      </w:r>
    </w:p>
    <w:p w:rsidR="004C1E01" w:rsidRPr="000D6B34" w:rsidRDefault="00E46B22" w:rsidP="000D6B34">
      <w:pPr>
        <w:rPr>
          <w:rFonts w:ascii="Times New Roman" w:hAnsi="Times New Roman"/>
          <w:b/>
          <w:sz w:val="24"/>
          <w:szCs w:val="24"/>
          <w:u w:val="single"/>
        </w:rPr>
      </w:pPr>
      <w:r w:rsidRPr="000D6B34">
        <w:rPr>
          <w:rFonts w:ascii="Times New Roman" w:hAnsi="Times New Roman"/>
          <w:b/>
          <w:i/>
          <w:sz w:val="24"/>
          <w:szCs w:val="24"/>
        </w:rPr>
        <w:br/>
      </w:r>
      <w:r w:rsidR="004C1E01" w:rsidRPr="000D6B34">
        <w:rPr>
          <w:rFonts w:ascii="Times New Roman" w:hAnsi="Times New Roman"/>
          <w:b/>
          <w:i/>
          <w:sz w:val="24"/>
          <w:szCs w:val="24"/>
        </w:rPr>
        <w:t>Differential Regulation</w:t>
      </w:r>
    </w:p>
    <w:p w:rsidR="00B34FEA" w:rsidRPr="00A75EBC" w:rsidRDefault="00A75EBC" w:rsidP="00A75EBC">
      <w:pPr>
        <w:pStyle w:val="CABNETParagraph"/>
        <w:numPr>
          <w:ilvl w:val="0"/>
          <w:numId w:val="2"/>
        </w:numPr>
        <w:rPr>
          <w:rFonts w:ascii="Times New Roman" w:hAnsi="Times New Roman" w:cs="Times New Roman"/>
          <w:sz w:val="24"/>
          <w:szCs w:val="24"/>
        </w:rPr>
      </w:pPr>
      <w:r w:rsidRPr="00A75EBC">
        <w:rPr>
          <w:rFonts w:ascii="Times New Roman" w:hAnsi="Times New Roman" w:cs="Times New Roman"/>
          <w:sz w:val="24"/>
          <w:szCs w:val="24"/>
          <w:lang w:eastAsia="en-AU"/>
        </w:rPr>
        <w:t xml:space="preserve">The concept of </w:t>
      </w:r>
      <w:r w:rsidR="00690A7A">
        <w:rPr>
          <w:rFonts w:ascii="Times New Roman" w:hAnsi="Times New Roman" w:cs="Times New Roman"/>
          <w:sz w:val="24"/>
          <w:szCs w:val="24"/>
          <w:lang w:eastAsia="en-AU"/>
        </w:rPr>
        <w:t xml:space="preserve">what was first called </w:t>
      </w:r>
      <w:r w:rsidRPr="00A75EBC">
        <w:rPr>
          <w:rFonts w:ascii="Times New Roman" w:hAnsi="Times New Roman" w:cs="Times New Roman"/>
          <w:sz w:val="24"/>
          <w:szCs w:val="24"/>
          <w:lang w:eastAsia="en-AU"/>
        </w:rPr>
        <w:t>earned autonomy,</w:t>
      </w:r>
      <w:r w:rsidR="00690A7A">
        <w:rPr>
          <w:rFonts w:ascii="Times New Roman" w:hAnsi="Times New Roman" w:cs="Times New Roman"/>
          <w:sz w:val="24"/>
          <w:szCs w:val="24"/>
          <w:lang w:eastAsia="en-AU"/>
        </w:rPr>
        <w:t xml:space="preserve"> and which later evolved into the concept</w:t>
      </w:r>
      <w:r w:rsidRPr="00A75EBC">
        <w:rPr>
          <w:rFonts w:ascii="Times New Roman" w:hAnsi="Times New Roman" w:cs="Times New Roman"/>
          <w:sz w:val="24"/>
          <w:szCs w:val="24"/>
          <w:lang w:eastAsia="en-AU"/>
        </w:rPr>
        <w:t xml:space="preserve"> </w:t>
      </w:r>
      <w:r w:rsidR="00A81FB2">
        <w:rPr>
          <w:rFonts w:ascii="Times New Roman" w:hAnsi="Times New Roman" w:cs="Times New Roman"/>
          <w:sz w:val="24"/>
          <w:szCs w:val="24"/>
          <w:lang w:eastAsia="en-AU"/>
        </w:rPr>
        <w:t xml:space="preserve">of </w:t>
      </w:r>
      <w:r w:rsidRPr="00A75EBC">
        <w:rPr>
          <w:rFonts w:ascii="Times New Roman" w:hAnsi="Times New Roman" w:cs="Times New Roman"/>
          <w:sz w:val="24"/>
          <w:szCs w:val="24"/>
          <w:lang w:eastAsia="en-AU"/>
        </w:rPr>
        <w:t>differential regulatio</w:t>
      </w:r>
      <w:r w:rsidR="006473CB">
        <w:rPr>
          <w:rFonts w:ascii="Times New Roman" w:hAnsi="Times New Roman" w:cs="Times New Roman"/>
          <w:sz w:val="24"/>
          <w:szCs w:val="24"/>
          <w:lang w:eastAsia="en-AU"/>
        </w:rPr>
        <w:t>n, appeared early in the PMRA</w:t>
      </w:r>
      <w:r w:rsidR="00690A7A">
        <w:rPr>
          <w:rFonts w:ascii="Times New Roman" w:hAnsi="Times New Roman" w:cs="Times New Roman"/>
          <w:sz w:val="24"/>
          <w:szCs w:val="24"/>
          <w:lang w:eastAsia="en-AU"/>
        </w:rPr>
        <w:t xml:space="preserve"> process</w:t>
      </w:r>
      <w:r w:rsidRPr="00A75EBC">
        <w:rPr>
          <w:rFonts w:ascii="Times New Roman" w:hAnsi="Times New Roman" w:cs="Times New Roman"/>
          <w:sz w:val="24"/>
          <w:szCs w:val="24"/>
          <w:lang w:eastAsia="en-AU"/>
        </w:rPr>
        <w:t>. S</w:t>
      </w:r>
      <w:r w:rsidR="00B34FEA" w:rsidRPr="00A75EBC">
        <w:rPr>
          <w:rFonts w:ascii="Times New Roman" w:hAnsi="Times New Roman" w:cs="Times New Roman"/>
          <w:sz w:val="24"/>
          <w:szCs w:val="24"/>
          <w:lang w:eastAsia="en-AU"/>
        </w:rPr>
        <w:t xml:space="preserve">ignificant </w:t>
      </w:r>
      <w:r w:rsidR="00690A7A">
        <w:rPr>
          <w:rFonts w:ascii="Times New Roman" w:hAnsi="Times New Roman" w:cs="Times New Roman"/>
          <w:sz w:val="24"/>
          <w:szCs w:val="24"/>
          <w:lang w:eastAsia="en-AU"/>
        </w:rPr>
        <w:t xml:space="preserve">and structured </w:t>
      </w:r>
      <w:r w:rsidR="00B34FEA" w:rsidRPr="00A75EBC">
        <w:rPr>
          <w:rFonts w:ascii="Times New Roman" w:hAnsi="Times New Roman" w:cs="Times New Roman"/>
          <w:sz w:val="24"/>
          <w:szCs w:val="24"/>
          <w:lang w:eastAsia="en-AU"/>
        </w:rPr>
        <w:t xml:space="preserve">consultation has </w:t>
      </w:r>
      <w:r w:rsidRPr="00A75EBC">
        <w:rPr>
          <w:rFonts w:ascii="Times New Roman" w:hAnsi="Times New Roman" w:cs="Times New Roman"/>
          <w:sz w:val="24"/>
          <w:szCs w:val="24"/>
          <w:lang w:eastAsia="en-AU"/>
        </w:rPr>
        <w:t xml:space="preserve">now taken place </w:t>
      </w:r>
      <w:r w:rsidR="00B34FEA" w:rsidRPr="00A75EBC">
        <w:rPr>
          <w:rFonts w:ascii="Times New Roman" w:hAnsi="Times New Roman" w:cs="Times New Roman"/>
          <w:sz w:val="24"/>
          <w:szCs w:val="24"/>
          <w:lang w:eastAsia="en-AU"/>
        </w:rPr>
        <w:t xml:space="preserve">with </w:t>
      </w:r>
      <w:r w:rsidR="00690A7A">
        <w:rPr>
          <w:rFonts w:ascii="Times New Roman" w:hAnsi="Times New Roman" w:cs="Times New Roman"/>
          <w:sz w:val="24"/>
          <w:szCs w:val="24"/>
          <w:lang w:eastAsia="en-AU"/>
        </w:rPr>
        <w:t>Commonwealth entities</w:t>
      </w:r>
      <w:r w:rsidR="00B34FEA" w:rsidRPr="00A75EBC">
        <w:rPr>
          <w:rFonts w:ascii="Times New Roman" w:hAnsi="Times New Roman" w:cs="Times New Roman"/>
          <w:sz w:val="24"/>
          <w:szCs w:val="24"/>
          <w:lang w:eastAsia="en-AU"/>
        </w:rPr>
        <w:t xml:space="preserve"> </w:t>
      </w:r>
      <w:r w:rsidRPr="00A75EBC">
        <w:rPr>
          <w:rFonts w:ascii="Times New Roman" w:hAnsi="Times New Roman" w:cs="Times New Roman"/>
          <w:sz w:val="24"/>
          <w:szCs w:val="24"/>
          <w:lang w:eastAsia="en-AU"/>
        </w:rPr>
        <w:t>around</w:t>
      </w:r>
      <w:r w:rsidR="00B34FEA" w:rsidRPr="00A75EBC">
        <w:rPr>
          <w:rFonts w:ascii="Times New Roman" w:hAnsi="Times New Roman" w:cs="Times New Roman"/>
          <w:sz w:val="24"/>
          <w:szCs w:val="24"/>
          <w:lang w:eastAsia="en-AU"/>
        </w:rPr>
        <w:t xml:space="preserve"> differential regulation. While there is</w:t>
      </w:r>
      <w:r w:rsidR="004C1E01" w:rsidRPr="00A75EBC">
        <w:rPr>
          <w:rFonts w:ascii="Times New Roman" w:hAnsi="Times New Roman" w:cs="Times New Roman"/>
          <w:sz w:val="24"/>
          <w:szCs w:val="24"/>
          <w:lang w:eastAsia="en-AU"/>
        </w:rPr>
        <w:t xml:space="preserve"> general support for the concept, </w:t>
      </w:r>
      <w:r w:rsidR="00B34FEA" w:rsidRPr="00A75EBC">
        <w:rPr>
          <w:rFonts w:ascii="Times New Roman" w:hAnsi="Times New Roman" w:cs="Times New Roman"/>
          <w:sz w:val="24"/>
          <w:szCs w:val="24"/>
          <w:lang w:eastAsia="en-AU"/>
        </w:rPr>
        <w:t>the</w:t>
      </w:r>
      <w:r w:rsidR="00690A7A">
        <w:rPr>
          <w:rFonts w:ascii="Times New Roman" w:hAnsi="Times New Roman" w:cs="Times New Roman"/>
          <w:sz w:val="24"/>
          <w:szCs w:val="24"/>
          <w:lang w:eastAsia="en-AU"/>
        </w:rPr>
        <w:t xml:space="preserve"> most common</w:t>
      </w:r>
      <w:r w:rsidR="00B34FEA" w:rsidRPr="00A75EBC">
        <w:rPr>
          <w:rFonts w:ascii="Times New Roman" w:hAnsi="Times New Roman" w:cs="Times New Roman"/>
          <w:sz w:val="24"/>
          <w:szCs w:val="24"/>
          <w:lang w:eastAsia="en-AU"/>
        </w:rPr>
        <w:t xml:space="preserve"> </w:t>
      </w:r>
      <w:r w:rsidRPr="00A75EBC">
        <w:rPr>
          <w:rFonts w:ascii="Times New Roman" w:hAnsi="Times New Roman" w:cs="Times New Roman"/>
          <w:sz w:val="24"/>
          <w:szCs w:val="24"/>
          <w:lang w:eastAsia="en-AU"/>
        </w:rPr>
        <w:t xml:space="preserve">view </w:t>
      </w:r>
      <w:r w:rsidR="00690A7A">
        <w:rPr>
          <w:rFonts w:ascii="Times New Roman" w:hAnsi="Times New Roman" w:cs="Times New Roman"/>
          <w:sz w:val="24"/>
          <w:szCs w:val="24"/>
          <w:lang w:eastAsia="en-AU"/>
        </w:rPr>
        <w:t xml:space="preserve">is </w:t>
      </w:r>
      <w:r w:rsidRPr="00A75EBC">
        <w:rPr>
          <w:rFonts w:ascii="Times New Roman" w:hAnsi="Times New Roman" w:cs="Times New Roman"/>
          <w:sz w:val="24"/>
          <w:szCs w:val="24"/>
          <w:lang w:eastAsia="en-AU"/>
        </w:rPr>
        <w:t xml:space="preserve">that many previously identified </w:t>
      </w:r>
      <w:r w:rsidRPr="00A75EBC">
        <w:rPr>
          <w:rFonts w:ascii="Times New Roman" w:hAnsi="Times New Roman" w:cs="Times New Roman"/>
          <w:sz w:val="24"/>
          <w:szCs w:val="24"/>
        </w:rPr>
        <w:t>red tape concerns have been addressed through t</w:t>
      </w:r>
      <w:r w:rsidRPr="00A75EBC">
        <w:rPr>
          <w:rFonts w:ascii="Times New Roman" w:hAnsi="Times New Roman" w:cs="Times New Roman"/>
          <w:sz w:val="24"/>
        </w:rPr>
        <w:t xml:space="preserve">he PGPA Act, Rules and related </w:t>
      </w:r>
      <w:r w:rsidR="00047245">
        <w:rPr>
          <w:rFonts w:ascii="Times New Roman" w:hAnsi="Times New Roman" w:cs="Times New Roman"/>
          <w:sz w:val="24"/>
        </w:rPr>
        <w:t xml:space="preserve">guidance </w:t>
      </w:r>
      <w:r w:rsidR="00690A7A">
        <w:rPr>
          <w:rFonts w:ascii="Times New Roman" w:hAnsi="Times New Roman" w:cs="Times New Roman"/>
          <w:sz w:val="24"/>
        </w:rPr>
        <w:t xml:space="preserve">and recently reviewed </w:t>
      </w:r>
      <w:r w:rsidRPr="00A75EBC">
        <w:rPr>
          <w:rFonts w:ascii="Times New Roman" w:hAnsi="Times New Roman" w:cs="Times New Roman"/>
          <w:sz w:val="24"/>
        </w:rPr>
        <w:t>policies like procurement and compliance reporting. A</w:t>
      </w:r>
      <w:r w:rsidR="00690A7A">
        <w:rPr>
          <w:rFonts w:ascii="Times New Roman" w:hAnsi="Times New Roman" w:cs="Times New Roman"/>
          <w:sz w:val="24"/>
        </w:rPr>
        <w:t> </w:t>
      </w:r>
      <w:r w:rsidR="00A81FB2">
        <w:rPr>
          <w:rFonts w:ascii="Times New Roman" w:hAnsi="Times New Roman" w:cs="Times New Roman"/>
          <w:sz w:val="24"/>
        </w:rPr>
        <w:t xml:space="preserve">clear </w:t>
      </w:r>
      <w:r w:rsidR="00B34FEA" w:rsidRPr="00A75EBC">
        <w:rPr>
          <w:rFonts w:ascii="Times New Roman" w:hAnsi="Times New Roman" w:cs="Times New Roman"/>
          <w:sz w:val="24"/>
          <w:szCs w:val="24"/>
          <w:lang w:eastAsia="en-AU"/>
        </w:rPr>
        <w:t xml:space="preserve">preference </w:t>
      </w:r>
      <w:r>
        <w:rPr>
          <w:rFonts w:ascii="Times New Roman" w:hAnsi="Times New Roman" w:cs="Times New Roman"/>
          <w:sz w:val="24"/>
          <w:szCs w:val="24"/>
          <w:lang w:eastAsia="en-AU"/>
        </w:rPr>
        <w:t xml:space="preserve">has emerged </w:t>
      </w:r>
      <w:r w:rsidR="004C1E01" w:rsidRPr="00A75EBC">
        <w:rPr>
          <w:rFonts w:ascii="Times New Roman" w:hAnsi="Times New Roman" w:cs="Times New Roman"/>
          <w:sz w:val="24"/>
          <w:szCs w:val="24"/>
          <w:lang w:eastAsia="en-AU"/>
        </w:rPr>
        <w:t xml:space="preserve">for Finance policy areas to independently pursue risk-based reductions to </w:t>
      </w:r>
      <w:r w:rsidR="00690A7A">
        <w:rPr>
          <w:rFonts w:ascii="Times New Roman" w:hAnsi="Times New Roman" w:cs="Times New Roman"/>
          <w:sz w:val="24"/>
          <w:szCs w:val="24"/>
          <w:lang w:eastAsia="en-AU"/>
        </w:rPr>
        <w:t xml:space="preserve">the </w:t>
      </w:r>
      <w:r w:rsidR="004C1E01" w:rsidRPr="00A75EBC">
        <w:rPr>
          <w:rFonts w:ascii="Times New Roman" w:hAnsi="Times New Roman" w:cs="Times New Roman"/>
          <w:sz w:val="24"/>
          <w:szCs w:val="24"/>
          <w:lang w:eastAsia="en-AU"/>
        </w:rPr>
        <w:t xml:space="preserve">regulation </w:t>
      </w:r>
      <w:r w:rsidR="00690A7A">
        <w:rPr>
          <w:rFonts w:ascii="Times New Roman" w:hAnsi="Times New Roman" w:cs="Times New Roman"/>
          <w:sz w:val="24"/>
          <w:szCs w:val="24"/>
          <w:lang w:eastAsia="en-AU"/>
        </w:rPr>
        <w:t xml:space="preserve">for which they are responsible </w:t>
      </w:r>
      <w:r w:rsidR="004C1E01" w:rsidRPr="00A75EBC">
        <w:rPr>
          <w:rFonts w:ascii="Times New Roman" w:hAnsi="Times New Roman" w:cs="Times New Roman"/>
          <w:sz w:val="24"/>
          <w:szCs w:val="24"/>
          <w:lang w:eastAsia="en-AU"/>
        </w:rPr>
        <w:t>without a central assessment of entity capacity and risks</w:t>
      </w:r>
      <w:r>
        <w:rPr>
          <w:rFonts w:ascii="Times New Roman" w:hAnsi="Times New Roman" w:cs="Times New Roman"/>
          <w:sz w:val="24"/>
          <w:szCs w:val="24"/>
          <w:lang w:eastAsia="en-AU"/>
        </w:rPr>
        <w:t xml:space="preserve">, noting </w:t>
      </w:r>
      <w:r w:rsidR="004C1E01" w:rsidRPr="00A75EBC">
        <w:rPr>
          <w:rFonts w:ascii="Times New Roman" w:hAnsi="Times New Roman" w:cs="Times New Roman"/>
          <w:sz w:val="24"/>
          <w:szCs w:val="24"/>
          <w:lang w:eastAsia="en-AU"/>
        </w:rPr>
        <w:t xml:space="preserve">that different entities represent different risks, for different reasons, for different types of regulation. There was a general concern to avoid any approach that </w:t>
      </w:r>
      <w:r w:rsidR="00690A7A">
        <w:rPr>
          <w:rFonts w:ascii="Times New Roman" w:hAnsi="Times New Roman" w:cs="Times New Roman"/>
          <w:sz w:val="24"/>
          <w:szCs w:val="24"/>
          <w:lang w:eastAsia="en-AU"/>
        </w:rPr>
        <w:t>w</w:t>
      </w:r>
      <w:r w:rsidR="004C1E01" w:rsidRPr="00A75EBC">
        <w:rPr>
          <w:rFonts w:ascii="Times New Roman" w:hAnsi="Times New Roman" w:cs="Times New Roman"/>
          <w:sz w:val="24"/>
          <w:szCs w:val="24"/>
          <w:lang w:eastAsia="en-AU"/>
        </w:rPr>
        <w:t>ould increase complexity for entities without sign</w:t>
      </w:r>
      <w:r w:rsidR="00B34FEA" w:rsidRPr="00A75EBC">
        <w:rPr>
          <w:rFonts w:ascii="Times New Roman" w:hAnsi="Times New Roman" w:cs="Times New Roman"/>
          <w:sz w:val="24"/>
          <w:szCs w:val="24"/>
          <w:lang w:eastAsia="en-AU"/>
        </w:rPr>
        <w:t>if</w:t>
      </w:r>
      <w:r w:rsidRPr="00A75EBC">
        <w:rPr>
          <w:rFonts w:ascii="Times New Roman" w:hAnsi="Times New Roman" w:cs="Times New Roman"/>
          <w:sz w:val="24"/>
          <w:szCs w:val="24"/>
          <w:lang w:eastAsia="en-AU"/>
        </w:rPr>
        <w:t xml:space="preserve">icantly reducing regulation. </w:t>
      </w:r>
    </w:p>
    <w:p w:rsidR="004832AB" w:rsidRPr="004832AB" w:rsidRDefault="00596392" w:rsidP="00A75EBC">
      <w:pPr>
        <w:pStyle w:val="CABNETParagraph"/>
        <w:numPr>
          <w:ilvl w:val="0"/>
          <w:numId w:val="2"/>
        </w:numPr>
        <w:rPr>
          <w:rFonts w:ascii="Times New Roman" w:hAnsi="Times New Roman" w:cs="Times New Roman"/>
          <w:sz w:val="24"/>
        </w:rPr>
      </w:pPr>
      <w:r w:rsidRPr="004916BD">
        <w:rPr>
          <w:rFonts w:ascii="Times New Roman" w:hAnsi="Times New Roman" w:cs="Times New Roman"/>
          <w:sz w:val="24"/>
          <w:szCs w:val="24"/>
        </w:rPr>
        <w:t xml:space="preserve">In </w:t>
      </w:r>
      <w:r>
        <w:rPr>
          <w:rFonts w:ascii="Times New Roman" w:hAnsi="Times New Roman" w:cs="Times New Roman"/>
          <w:sz w:val="24"/>
          <w:szCs w:val="24"/>
        </w:rPr>
        <w:t>response to</w:t>
      </w:r>
      <w:r w:rsidRPr="004916BD">
        <w:rPr>
          <w:rFonts w:ascii="Times New Roman" w:hAnsi="Times New Roman" w:cs="Times New Roman"/>
          <w:sz w:val="24"/>
          <w:szCs w:val="24"/>
        </w:rPr>
        <w:t xml:space="preserve"> this feedback, we </w:t>
      </w:r>
      <w:r>
        <w:rPr>
          <w:rFonts w:ascii="Times New Roman" w:hAnsi="Times New Roman" w:cs="Times New Roman"/>
          <w:sz w:val="24"/>
          <w:szCs w:val="24"/>
        </w:rPr>
        <w:t>are</w:t>
      </w:r>
      <w:r w:rsidRPr="004916BD">
        <w:rPr>
          <w:rFonts w:ascii="Times New Roman" w:hAnsi="Times New Roman" w:cs="Times New Roman"/>
          <w:sz w:val="24"/>
          <w:szCs w:val="24"/>
        </w:rPr>
        <w:t xml:space="preserve"> </w:t>
      </w:r>
      <w:r w:rsidRPr="004916BD">
        <w:rPr>
          <w:rFonts w:ascii="Times New Roman" w:hAnsi="Times New Roman" w:cs="Times New Roman"/>
          <w:sz w:val="24"/>
        </w:rPr>
        <w:t>integrat</w:t>
      </w:r>
      <w:r>
        <w:rPr>
          <w:rFonts w:ascii="Times New Roman" w:hAnsi="Times New Roman" w:cs="Times New Roman"/>
          <w:sz w:val="24"/>
        </w:rPr>
        <w:t>ing</w:t>
      </w:r>
      <w:r w:rsidRPr="004916BD">
        <w:rPr>
          <w:rFonts w:ascii="Times New Roman" w:hAnsi="Times New Roman" w:cs="Times New Roman"/>
          <w:sz w:val="24"/>
        </w:rPr>
        <w:t xml:space="preserve"> the </w:t>
      </w:r>
      <w:r>
        <w:rPr>
          <w:rFonts w:ascii="Times New Roman" w:hAnsi="Times New Roman" w:cs="Times New Roman"/>
          <w:sz w:val="24"/>
        </w:rPr>
        <w:t xml:space="preserve">concepts </w:t>
      </w:r>
      <w:r w:rsidRPr="004916BD">
        <w:rPr>
          <w:rFonts w:ascii="Times New Roman" w:hAnsi="Times New Roman" w:cs="Times New Roman"/>
          <w:sz w:val="24"/>
        </w:rPr>
        <w:t>of a differential regulation approach within Finance with the implementation of relevant recommendations</w:t>
      </w:r>
      <w:r>
        <w:rPr>
          <w:rFonts w:ascii="Times New Roman" w:hAnsi="Times New Roman" w:cs="Times New Roman"/>
          <w:sz w:val="24"/>
        </w:rPr>
        <w:t xml:space="preserve"> in the 2015 I</w:t>
      </w:r>
      <w:r w:rsidRPr="00A75EBC">
        <w:rPr>
          <w:rFonts w:ascii="Times New Roman" w:hAnsi="Times New Roman" w:cs="Times New Roman"/>
          <w:sz w:val="24"/>
        </w:rPr>
        <w:t>ndependent Review of Whole-of-Government Internal Regulation (Belcher Red Tape Review)</w:t>
      </w:r>
      <w:r>
        <w:rPr>
          <w:rStyle w:val="FootnoteReference"/>
          <w:rFonts w:ascii="Times New Roman" w:hAnsi="Times New Roman" w:cs="Times New Roman"/>
          <w:sz w:val="24"/>
        </w:rPr>
        <w:footnoteReference w:id="2"/>
      </w:r>
      <w:r>
        <w:rPr>
          <w:rFonts w:ascii="Times New Roman" w:hAnsi="Times New Roman" w:cs="Times New Roman"/>
          <w:sz w:val="24"/>
        </w:rPr>
        <w:t xml:space="preserve">. Our </w:t>
      </w:r>
      <w:r w:rsidRPr="004916BD">
        <w:rPr>
          <w:rFonts w:ascii="Times New Roman" w:hAnsi="Times New Roman" w:cs="Times New Roman"/>
          <w:sz w:val="24"/>
        </w:rPr>
        <w:t>expectation</w:t>
      </w:r>
      <w:r>
        <w:rPr>
          <w:rFonts w:ascii="Times New Roman" w:hAnsi="Times New Roman" w:cs="Times New Roman"/>
          <w:sz w:val="24"/>
        </w:rPr>
        <w:t xml:space="preserve"> is</w:t>
      </w:r>
      <w:r w:rsidRPr="004916BD">
        <w:rPr>
          <w:rFonts w:ascii="Times New Roman" w:hAnsi="Times New Roman" w:cs="Times New Roman"/>
          <w:sz w:val="24"/>
        </w:rPr>
        <w:t xml:space="preserve"> that Finance could model</w:t>
      </w:r>
      <w:r>
        <w:rPr>
          <w:rFonts w:ascii="Times New Roman" w:hAnsi="Times New Roman" w:cs="Times New Roman"/>
          <w:sz w:val="24"/>
        </w:rPr>
        <w:t xml:space="preserve"> better regulatory behaviours to</w:t>
      </w:r>
      <w:r w:rsidRPr="004916BD">
        <w:rPr>
          <w:rFonts w:ascii="Times New Roman" w:hAnsi="Times New Roman" w:cs="Times New Roman"/>
          <w:sz w:val="24"/>
        </w:rPr>
        <w:t xml:space="preserve"> other entities</w:t>
      </w:r>
      <w:r>
        <w:rPr>
          <w:rFonts w:ascii="Times New Roman" w:hAnsi="Times New Roman" w:cs="Times New Roman"/>
          <w:sz w:val="24"/>
        </w:rPr>
        <w:t xml:space="preserve"> who also impose internal controls and reporting requirements on Commonwealth entities</w:t>
      </w:r>
      <w:r w:rsidRPr="004916BD">
        <w:rPr>
          <w:rFonts w:ascii="Times New Roman" w:hAnsi="Times New Roman" w:cs="Times New Roman"/>
          <w:sz w:val="24"/>
          <w:szCs w:val="24"/>
        </w:rPr>
        <w:t xml:space="preserve">. </w:t>
      </w:r>
      <w:r>
        <w:rPr>
          <w:rFonts w:ascii="Times New Roman" w:hAnsi="Times New Roman" w:cs="Times New Roman"/>
          <w:sz w:val="24"/>
        </w:rPr>
        <w:t xml:space="preserve">Finance </w:t>
      </w:r>
      <w:r w:rsidRPr="004916BD">
        <w:rPr>
          <w:rFonts w:ascii="Times New Roman" w:hAnsi="Times New Roman" w:cs="Times New Roman"/>
          <w:sz w:val="24"/>
        </w:rPr>
        <w:t>policy owners</w:t>
      </w:r>
      <w:r>
        <w:rPr>
          <w:rFonts w:ascii="Times New Roman" w:hAnsi="Times New Roman" w:cs="Times New Roman"/>
          <w:sz w:val="24"/>
        </w:rPr>
        <w:t xml:space="preserve"> differentiate the requirements on entities through a number of mechanisms</w:t>
      </w:r>
      <w:r w:rsidRPr="0074705A">
        <w:rPr>
          <w:rFonts w:ascii="Times New Roman" w:hAnsi="Times New Roman" w:cs="Times New Roman"/>
          <w:sz w:val="24"/>
        </w:rPr>
        <w:t>. This differentiation is applied through one or more of the following characteristics. The type of entity (non-corporate Commonwealth entities, corporate Commonwealth entities and Commonwealth companies) financial thresholds and the risks associated with the activity being undertaken. Examples include the procurement and grants frameworks, and the Australian Government Charging Framework, which differentiate based on the above characteristics. Further, the Commonwealth Risk Management framework is a better practice example of a policy that is able to be tailored to reflect the requirements of entity, project or program risk based on the level of risk maturity that an entity adopts.  Finance policy owners currently clarify the minimum and appropriate standards in each policy area that an entity are required to attain based on the characteristics above.</w:t>
      </w:r>
      <w:r w:rsidRPr="00B328B8">
        <w:rPr>
          <w:rFonts w:ascii="Times New Roman" w:hAnsi="Times New Roman" w:cs="Times New Roman"/>
          <w:sz w:val="24"/>
        </w:rPr>
        <w:t xml:space="preserve"> </w:t>
      </w:r>
      <w:r w:rsidR="00F35763">
        <w:rPr>
          <w:rFonts w:ascii="Times New Roman" w:hAnsi="Times New Roman" w:cs="Times New Roman"/>
          <w:sz w:val="24"/>
        </w:rPr>
        <w:t xml:space="preserve">Central to this is embedding the Belcher Principles for Internal Regulation, which </w:t>
      </w:r>
      <w:r w:rsidR="004832AB">
        <w:rPr>
          <w:rFonts w:ascii="Times New Roman" w:hAnsi="Times New Roman" w:cs="Times New Roman"/>
          <w:sz w:val="24"/>
        </w:rPr>
        <w:t>require regulation to be</w:t>
      </w:r>
      <w:r w:rsidR="00F35763" w:rsidRPr="004832AB">
        <w:rPr>
          <w:rFonts w:ascii="Times New Roman" w:hAnsi="Times New Roman" w:cs="Times New Roman"/>
          <w:sz w:val="24"/>
        </w:rPr>
        <w:t xml:space="preserve">: </w:t>
      </w:r>
    </w:p>
    <w:p w:rsidR="004832AB" w:rsidRPr="004832AB" w:rsidRDefault="004832AB" w:rsidP="004832AB">
      <w:pPr>
        <w:numPr>
          <w:ilvl w:val="1"/>
          <w:numId w:val="2"/>
        </w:numPr>
        <w:spacing w:before="100" w:beforeAutospacing="1" w:after="100" w:afterAutospacing="1"/>
        <w:rPr>
          <w:rFonts w:ascii="Times New Roman" w:eastAsia="Times New Roman" w:hAnsi="Times New Roman" w:cs="Times New Roman"/>
          <w:sz w:val="24"/>
          <w:szCs w:val="24"/>
          <w:lang w:eastAsia="en-AU"/>
        </w:rPr>
      </w:pPr>
      <w:r w:rsidRPr="004832AB">
        <w:rPr>
          <w:rFonts w:ascii="Times New Roman" w:eastAsia="Times New Roman" w:hAnsi="Times New Roman" w:cs="Times New Roman"/>
          <w:sz w:val="24"/>
          <w:szCs w:val="24"/>
          <w:lang w:eastAsia="en-AU"/>
        </w:rPr>
        <w:t>the minimum needed to achieve whole-of-government or entity outcomes</w:t>
      </w:r>
    </w:p>
    <w:p w:rsidR="004832AB" w:rsidRPr="004832AB" w:rsidRDefault="004832AB" w:rsidP="004832AB">
      <w:pPr>
        <w:numPr>
          <w:ilvl w:val="1"/>
          <w:numId w:val="2"/>
        </w:numPr>
        <w:spacing w:before="100" w:beforeAutospacing="1" w:after="100" w:afterAutospacing="1"/>
        <w:rPr>
          <w:rFonts w:ascii="Times New Roman" w:eastAsia="Times New Roman" w:hAnsi="Times New Roman" w:cs="Times New Roman"/>
          <w:sz w:val="24"/>
          <w:szCs w:val="24"/>
          <w:lang w:eastAsia="en-AU"/>
        </w:rPr>
      </w:pPr>
      <w:r w:rsidRPr="004832AB">
        <w:rPr>
          <w:rFonts w:ascii="Times New Roman" w:eastAsia="Times New Roman" w:hAnsi="Times New Roman" w:cs="Times New Roman"/>
          <w:sz w:val="24"/>
          <w:szCs w:val="24"/>
          <w:lang w:eastAsia="en-AU"/>
        </w:rPr>
        <w:t>proportional to the risks to be managed and supportive of a risk-based approach</w:t>
      </w:r>
    </w:p>
    <w:p w:rsidR="004832AB" w:rsidRPr="004832AB" w:rsidRDefault="004832AB" w:rsidP="004832AB">
      <w:pPr>
        <w:numPr>
          <w:ilvl w:val="1"/>
          <w:numId w:val="2"/>
        </w:numPr>
        <w:spacing w:before="100" w:beforeAutospacing="1" w:after="100" w:afterAutospacing="1"/>
        <w:rPr>
          <w:rFonts w:ascii="Times New Roman" w:eastAsia="Times New Roman" w:hAnsi="Times New Roman" w:cs="Times New Roman"/>
          <w:sz w:val="24"/>
          <w:szCs w:val="24"/>
          <w:lang w:eastAsia="en-AU"/>
        </w:rPr>
      </w:pPr>
      <w:r w:rsidRPr="004832AB">
        <w:rPr>
          <w:rFonts w:ascii="Times New Roman" w:eastAsia="Times New Roman" w:hAnsi="Times New Roman" w:cs="Times New Roman"/>
          <w:sz w:val="24"/>
          <w:szCs w:val="24"/>
          <w:lang w:eastAsia="en-AU"/>
        </w:rPr>
        <w:t>coherent across government and not duplicative</w:t>
      </w:r>
    </w:p>
    <w:p w:rsidR="004832AB" w:rsidRPr="004832AB" w:rsidRDefault="004832AB" w:rsidP="004832AB">
      <w:pPr>
        <w:numPr>
          <w:ilvl w:val="1"/>
          <w:numId w:val="2"/>
        </w:numPr>
        <w:spacing w:before="100" w:beforeAutospacing="1" w:after="100" w:afterAutospacing="1"/>
        <w:rPr>
          <w:rFonts w:ascii="Times New Roman" w:eastAsia="Times New Roman" w:hAnsi="Times New Roman" w:cs="Times New Roman"/>
          <w:sz w:val="24"/>
          <w:szCs w:val="24"/>
          <w:lang w:eastAsia="en-AU"/>
        </w:rPr>
      </w:pPr>
      <w:r w:rsidRPr="004832AB">
        <w:rPr>
          <w:rFonts w:ascii="Times New Roman" w:eastAsia="Times New Roman" w:hAnsi="Times New Roman" w:cs="Times New Roman"/>
          <w:sz w:val="24"/>
          <w:szCs w:val="24"/>
          <w:lang w:eastAsia="en-AU"/>
        </w:rPr>
        <w:t>designed in consultation with stakeholders for clarity and simplicity in application, and</w:t>
      </w:r>
    </w:p>
    <w:p w:rsidR="004832AB" w:rsidRPr="00656184" w:rsidRDefault="004832AB" w:rsidP="00460A40">
      <w:pPr>
        <w:numPr>
          <w:ilvl w:val="1"/>
          <w:numId w:val="2"/>
        </w:numPr>
        <w:spacing w:before="100" w:beforeAutospacing="1" w:after="100" w:afterAutospacing="1"/>
        <w:rPr>
          <w:rFonts w:ascii="Times New Roman" w:hAnsi="Times New Roman" w:cs="Times New Roman"/>
          <w:sz w:val="24"/>
        </w:rPr>
      </w:pPr>
      <w:r w:rsidRPr="00656184">
        <w:rPr>
          <w:rFonts w:ascii="Times New Roman" w:eastAsia="Times New Roman" w:hAnsi="Times New Roman" w:cs="Times New Roman"/>
          <w:sz w:val="24"/>
          <w:szCs w:val="24"/>
          <w:lang w:eastAsia="en-AU"/>
        </w:rPr>
        <w:t>reviewed periodically to test relevance and impact.</w:t>
      </w:r>
    </w:p>
    <w:p w:rsidR="004C1E01" w:rsidRPr="00656184" w:rsidRDefault="00DD5AEE" w:rsidP="006473CB">
      <w:pPr>
        <w:pStyle w:val="CABNETParagraph"/>
        <w:numPr>
          <w:ilvl w:val="0"/>
          <w:numId w:val="2"/>
        </w:numPr>
        <w:rPr>
          <w:rFonts w:ascii="Times New Roman" w:hAnsi="Times New Roman" w:cs="Times New Roman"/>
          <w:sz w:val="24"/>
          <w:szCs w:val="24"/>
        </w:rPr>
      </w:pPr>
      <w:r w:rsidRPr="00656184">
        <w:rPr>
          <w:rFonts w:ascii="Times New Roman" w:hAnsi="Times New Roman" w:cs="Times New Roman"/>
          <w:sz w:val="24"/>
          <w:szCs w:val="24"/>
        </w:rPr>
        <w:t>T</w:t>
      </w:r>
      <w:r w:rsidR="00F35763" w:rsidRPr="00656184">
        <w:rPr>
          <w:rFonts w:ascii="Times New Roman" w:hAnsi="Times New Roman" w:cs="Times New Roman"/>
          <w:sz w:val="24"/>
          <w:szCs w:val="24"/>
        </w:rPr>
        <w:t xml:space="preserve">his work </w:t>
      </w:r>
      <w:r w:rsidRPr="00656184">
        <w:rPr>
          <w:rFonts w:ascii="Times New Roman" w:hAnsi="Times New Roman" w:cs="Times New Roman"/>
          <w:sz w:val="24"/>
          <w:szCs w:val="24"/>
        </w:rPr>
        <w:t xml:space="preserve">is </w:t>
      </w:r>
      <w:r w:rsidR="00F35763" w:rsidRPr="00656184">
        <w:rPr>
          <w:rFonts w:ascii="Times New Roman" w:hAnsi="Times New Roman" w:cs="Times New Roman"/>
          <w:sz w:val="24"/>
          <w:szCs w:val="24"/>
        </w:rPr>
        <w:t>continu</w:t>
      </w:r>
      <w:r w:rsidRPr="00656184">
        <w:rPr>
          <w:rFonts w:ascii="Times New Roman" w:hAnsi="Times New Roman" w:cs="Times New Roman"/>
          <w:sz w:val="24"/>
          <w:szCs w:val="24"/>
        </w:rPr>
        <w:t>ing</w:t>
      </w:r>
      <w:r w:rsidR="00F35763" w:rsidRPr="00656184">
        <w:rPr>
          <w:rFonts w:ascii="Times New Roman" w:hAnsi="Times New Roman" w:cs="Times New Roman"/>
          <w:sz w:val="24"/>
          <w:szCs w:val="24"/>
        </w:rPr>
        <w:t xml:space="preserve"> through 2017</w:t>
      </w:r>
      <w:r w:rsidR="00882A18" w:rsidRPr="00656184">
        <w:rPr>
          <w:rFonts w:ascii="Times New Roman" w:hAnsi="Times New Roman" w:cs="Times New Roman"/>
          <w:sz w:val="24"/>
          <w:szCs w:val="24"/>
        </w:rPr>
        <w:t>, and we are co-ordinating at a high level with the Department of the Prime Minister and Cabinet, the Attorney</w:t>
      </w:r>
      <w:r w:rsidR="00882A18" w:rsidRPr="00656184">
        <w:rPr>
          <w:rFonts w:ascii="Times New Roman" w:hAnsi="Times New Roman" w:cs="Times New Roman"/>
          <w:sz w:val="24"/>
          <w:szCs w:val="24"/>
        </w:rPr>
        <w:noBreakHyphen/>
        <w:t>General’s Department and the Australian Public Service Commission</w:t>
      </w:r>
      <w:r w:rsidR="00F35763" w:rsidRPr="00656184">
        <w:rPr>
          <w:rFonts w:ascii="Times New Roman" w:hAnsi="Times New Roman" w:cs="Times New Roman"/>
          <w:sz w:val="24"/>
          <w:szCs w:val="24"/>
        </w:rPr>
        <w:t>.</w:t>
      </w:r>
    </w:p>
    <w:p w:rsidR="006473CB" w:rsidRDefault="00DD5AEE" w:rsidP="00F35763">
      <w:pPr>
        <w:pStyle w:val="CABNETParagraph"/>
        <w:numPr>
          <w:ilvl w:val="0"/>
          <w:numId w:val="2"/>
        </w:numPr>
        <w:rPr>
          <w:rFonts w:ascii="Times New Roman" w:hAnsi="Times New Roman"/>
          <w:sz w:val="24"/>
          <w:szCs w:val="24"/>
        </w:rPr>
      </w:pPr>
      <w:r>
        <w:rPr>
          <w:rFonts w:ascii="Times New Roman" w:hAnsi="Times New Roman"/>
          <w:sz w:val="24"/>
          <w:szCs w:val="24"/>
        </w:rPr>
        <w:t xml:space="preserve">The purpose of </w:t>
      </w:r>
      <w:r w:rsidR="006473CB">
        <w:rPr>
          <w:rFonts w:ascii="Times New Roman" w:hAnsi="Times New Roman"/>
          <w:sz w:val="24"/>
          <w:szCs w:val="24"/>
        </w:rPr>
        <w:t>Stage three of the PMRA</w:t>
      </w:r>
      <w:r>
        <w:rPr>
          <w:rFonts w:ascii="Times New Roman" w:hAnsi="Times New Roman"/>
          <w:sz w:val="24"/>
          <w:szCs w:val="24"/>
        </w:rPr>
        <w:t xml:space="preserve"> was to further </w:t>
      </w:r>
      <w:r w:rsidR="00882A18">
        <w:rPr>
          <w:rFonts w:ascii="Times New Roman" w:hAnsi="Times New Roman"/>
          <w:sz w:val="24"/>
          <w:szCs w:val="24"/>
        </w:rPr>
        <w:t>build on elements of</w:t>
      </w:r>
      <w:r w:rsidR="006473CB">
        <w:rPr>
          <w:rFonts w:ascii="Times New Roman" w:hAnsi="Times New Roman"/>
          <w:sz w:val="24"/>
          <w:szCs w:val="24"/>
        </w:rPr>
        <w:t xml:space="preserve"> the PGPA Act and enhanced Commonwealth Performance Framework, </w:t>
      </w:r>
      <w:r w:rsidR="00882A18">
        <w:rPr>
          <w:rFonts w:ascii="Times New Roman" w:hAnsi="Times New Roman"/>
          <w:sz w:val="24"/>
          <w:szCs w:val="24"/>
        </w:rPr>
        <w:t>and explore</w:t>
      </w:r>
      <w:r w:rsidR="006473CB">
        <w:rPr>
          <w:rFonts w:ascii="Times New Roman" w:hAnsi="Times New Roman"/>
          <w:sz w:val="24"/>
          <w:szCs w:val="24"/>
        </w:rPr>
        <w:t xml:space="preserve"> specific elements of the resource management framework, </w:t>
      </w:r>
      <w:r w:rsidR="00882A18">
        <w:rPr>
          <w:rFonts w:ascii="Times New Roman" w:hAnsi="Times New Roman"/>
          <w:sz w:val="24"/>
          <w:szCs w:val="24"/>
        </w:rPr>
        <w:t>including</w:t>
      </w:r>
      <w:r w:rsidR="006473CB">
        <w:rPr>
          <w:rFonts w:ascii="Times New Roman" w:hAnsi="Times New Roman"/>
          <w:sz w:val="24"/>
          <w:szCs w:val="24"/>
        </w:rPr>
        <w:t>:</w:t>
      </w:r>
    </w:p>
    <w:p w:rsidR="006473CB" w:rsidRDefault="002261B2" w:rsidP="00BB2253">
      <w:pPr>
        <w:pStyle w:val="CABNETParagraph"/>
        <w:numPr>
          <w:ilvl w:val="1"/>
          <w:numId w:val="2"/>
        </w:numPr>
        <w:spacing w:before="0" w:after="0"/>
        <w:ind w:left="1434" w:hanging="357"/>
        <w:rPr>
          <w:rFonts w:ascii="Times New Roman" w:hAnsi="Times New Roman"/>
          <w:sz w:val="24"/>
          <w:szCs w:val="24"/>
        </w:rPr>
      </w:pPr>
      <w:r>
        <w:rPr>
          <w:rFonts w:ascii="Times New Roman" w:hAnsi="Times New Roman"/>
          <w:sz w:val="24"/>
          <w:szCs w:val="24"/>
        </w:rPr>
        <w:t>Cooperation/</w:t>
      </w:r>
      <w:r w:rsidR="006473CB">
        <w:rPr>
          <w:rFonts w:ascii="Times New Roman" w:hAnsi="Times New Roman"/>
          <w:sz w:val="24"/>
          <w:szCs w:val="24"/>
        </w:rPr>
        <w:t>Joining-up;</w:t>
      </w:r>
    </w:p>
    <w:p w:rsidR="006473CB" w:rsidRDefault="006473CB" w:rsidP="00BB2253">
      <w:pPr>
        <w:pStyle w:val="CABNETParagraph"/>
        <w:numPr>
          <w:ilvl w:val="1"/>
          <w:numId w:val="2"/>
        </w:numPr>
        <w:spacing w:before="0" w:after="0"/>
        <w:ind w:left="1434" w:hanging="357"/>
        <w:rPr>
          <w:rFonts w:ascii="Times New Roman" w:hAnsi="Times New Roman"/>
          <w:sz w:val="24"/>
          <w:szCs w:val="24"/>
        </w:rPr>
      </w:pPr>
      <w:r>
        <w:rPr>
          <w:rFonts w:ascii="Times New Roman" w:hAnsi="Times New Roman"/>
          <w:sz w:val="24"/>
          <w:szCs w:val="24"/>
        </w:rPr>
        <w:t>Cash management</w:t>
      </w:r>
      <w:r w:rsidR="002261B2">
        <w:rPr>
          <w:rFonts w:ascii="Times New Roman" w:hAnsi="Times New Roman"/>
          <w:sz w:val="24"/>
          <w:szCs w:val="24"/>
        </w:rPr>
        <w:t xml:space="preserve"> scoping study</w:t>
      </w:r>
      <w:r>
        <w:rPr>
          <w:rFonts w:ascii="Times New Roman" w:hAnsi="Times New Roman"/>
          <w:sz w:val="24"/>
          <w:szCs w:val="24"/>
        </w:rPr>
        <w:t>; and</w:t>
      </w:r>
    </w:p>
    <w:p w:rsidR="006473CB" w:rsidRPr="006473CB" w:rsidRDefault="006473CB" w:rsidP="00BB2253">
      <w:pPr>
        <w:pStyle w:val="CABNETParagraph"/>
        <w:numPr>
          <w:ilvl w:val="1"/>
          <w:numId w:val="2"/>
        </w:numPr>
        <w:spacing w:before="0" w:after="0"/>
        <w:ind w:left="1434" w:hanging="357"/>
        <w:rPr>
          <w:rFonts w:ascii="Times New Roman" w:hAnsi="Times New Roman"/>
          <w:sz w:val="24"/>
          <w:szCs w:val="24"/>
        </w:rPr>
      </w:pPr>
      <w:r>
        <w:rPr>
          <w:rFonts w:ascii="Times New Roman" w:hAnsi="Times New Roman"/>
          <w:sz w:val="24"/>
          <w:szCs w:val="24"/>
        </w:rPr>
        <w:t xml:space="preserve">Appropriations and </w:t>
      </w:r>
      <w:r w:rsidR="00862121">
        <w:rPr>
          <w:rFonts w:ascii="Times New Roman" w:hAnsi="Times New Roman"/>
          <w:sz w:val="24"/>
          <w:szCs w:val="24"/>
        </w:rPr>
        <w:t>e</w:t>
      </w:r>
      <w:r>
        <w:rPr>
          <w:rFonts w:ascii="Times New Roman" w:hAnsi="Times New Roman"/>
          <w:sz w:val="24"/>
          <w:szCs w:val="24"/>
        </w:rPr>
        <w:t xml:space="preserve">ntity </w:t>
      </w:r>
      <w:r w:rsidR="00862121">
        <w:rPr>
          <w:rFonts w:ascii="Times New Roman" w:hAnsi="Times New Roman"/>
          <w:sz w:val="24"/>
          <w:szCs w:val="24"/>
        </w:rPr>
        <w:t>r</w:t>
      </w:r>
      <w:r>
        <w:rPr>
          <w:rFonts w:ascii="Times New Roman" w:hAnsi="Times New Roman"/>
          <w:sz w:val="24"/>
          <w:szCs w:val="24"/>
        </w:rPr>
        <w:t>esourcing</w:t>
      </w:r>
      <w:r w:rsidR="002261B2">
        <w:rPr>
          <w:rFonts w:ascii="Times New Roman" w:hAnsi="Times New Roman"/>
          <w:sz w:val="24"/>
          <w:szCs w:val="24"/>
        </w:rPr>
        <w:t>.</w:t>
      </w:r>
    </w:p>
    <w:p w:rsidR="006473CB" w:rsidRPr="007927F9" w:rsidRDefault="00E46B22" w:rsidP="006473CB">
      <w:pPr>
        <w:pStyle w:val="CABNETParagraph"/>
        <w:rPr>
          <w:rFonts w:ascii="Times New Roman" w:hAnsi="Times New Roman" w:cs="Times New Roman"/>
          <w:b/>
          <w:i/>
          <w:sz w:val="24"/>
          <w:szCs w:val="24"/>
          <w:u w:val="single"/>
        </w:rPr>
      </w:pPr>
      <w:r>
        <w:rPr>
          <w:rFonts w:ascii="Times New Roman" w:hAnsi="Times New Roman" w:cs="Times New Roman"/>
          <w:b/>
          <w:i/>
          <w:sz w:val="24"/>
          <w:szCs w:val="24"/>
          <w:lang w:eastAsia="en-AU"/>
        </w:rPr>
        <w:br/>
      </w:r>
      <w:r w:rsidR="006473CB" w:rsidRPr="007927F9">
        <w:rPr>
          <w:rFonts w:ascii="Times New Roman" w:hAnsi="Times New Roman" w:cs="Times New Roman"/>
          <w:b/>
          <w:i/>
          <w:sz w:val="24"/>
          <w:szCs w:val="24"/>
          <w:lang w:eastAsia="en-AU"/>
        </w:rPr>
        <w:t>Cooperation/Joining-up</w:t>
      </w:r>
    </w:p>
    <w:p w:rsidR="006473CB" w:rsidRPr="00894619" w:rsidRDefault="006473CB" w:rsidP="006473CB">
      <w:pPr>
        <w:pStyle w:val="CABNETParagraph"/>
        <w:numPr>
          <w:ilvl w:val="0"/>
          <w:numId w:val="2"/>
        </w:numPr>
        <w:rPr>
          <w:rFonts w:ascii="Times New Roman" w:hAnsi="Times New Roman" w:cs="Times New Roman"/>
          <w:sz w:val="24"/>
          <w:szCs w:val="24"/>
        </w:rPr>
      </w:pPr>
      <w:r>
        <w:rPr>
          <w:rFonts w:ascii="Times New Roman" w:hAnsi="Times New Roman" w:cs="Times New Roman"/>
          <w:sz w:val="24"/>
          <w:szCs w:val="24"/>
        </w:rPr>
        <w:t>In its</w:t>
      </w:r>
      <w:r w:rsidRPr="004916BD">
        <w:rPr>
          <w:rFonts w:ascii="Times New Roman" w:hAnsi="Times New Roman" w:cs="Times New Roman"/>
          <w:sz w:val="24"/>
          <w:szCs w:val="24"/>
        </w:rPr>
        <w:t xml:space="preserve"> Report 457, dated May 2016, </w:t>
      </w:r>
      <w:r>
        <w:rPr>
          <w:rFonts w:ascii="Times New Roman" w:hAnsi="Times New Roman" w:cs="Times New Roman"/>
          <w:sz w:val="24"/>
          <w:szCs w:val="24"/>
        </w:rPr>
        <w:t xml:space="preserve">the Committee noted </w:t>
      </w:r>
      <w:r w:rsidRPr="004916BD">
        <w:rPr>
          <w:rFonts w:ascii="Times New Roman" w:hAnsi="Times New Roman" w:cs="Times New Roman"/>
          <w:sz w:val="24"/>
          <w:szCs w:val="24"/>
        </w:rPr>
        <w:t xml:space="preserve">that Finance had commenced </w:t>
      </w:r>
      <w:r w:rsidRPr="00894619">
        <w:rPr>
          <w:rFonts w:ascii="Times New Roman" w:hAnsi="Times New Roman" w:cs="Times New Roman"/>
          <w:sz w:val="24"/>
          <w:szCs w:val="24"/>
        </w:rPr>
        <w:t xml:space="preserve">internal work on scoping options for improving cooperation in government. </w:t>
      </w:r>
    </w:p>
    <w:p w:rsidR="006473CB" w:rsidRPr="00894619" w:rsidRDefault="006473CB" w:rsidP="006473CB">
      <w:pPr>
        <w:pStyle w:val="CABNETParagraph"/>
        <w:numPr>
          <w:ilvl w:val="0"/>
          <w:numId w:val="2"/>
        </w:numPr>
        <w:rPr>
          <w:rFonts w:ascii="Times New Roman" w:hAnsi="Times New Roman" w:cs="Times New Roman"/>
          <w:sz w:val="24"/>
          <w:szCs w:val="24"/>
        </w:rPr>
      </w:pPr>
      <w:r w:rsidRPr="00894619">
        <w:rPr>
          <w:rFonts w:ascii="Times New Roman" w:hAnsi="Times New Roman" w:cs="Times New Roman"/>
          <w:sz w:val="24"/>
          <w:szCs w:val="24"/>
        </w:rPr>
        <w:t>The PGPA Act, Rules and related guidance were developed to expressly recognise the need for better cooperation between Commonwealth entities, and by the Commonwealth with the private</w:t>
      </w:r>
      <w:r w:rsidR="00FA4098">
        <w:rPr>
          <w:rFonts w:ascii="Times New Roman" w:hAnsi="Times New Roman" w:cs="Times New Roman"/>
          <w:sz w:val="24"/>
          <w:szCs w:val="24"/>
        </w:rPr>
        <w:t xml:space="preserve"> sector</w:t>
      </w:r>
      <w:r w:rsidRPr="00894619">
        <w:rPr>
          <w:rFonts w:ascii="Times New Roman" w:hAnsi="Times New Roman" w:cs="Times New Roman"/>
          <w:sz w:val="24"/>
          <w:szCs w:val="24"/>
        </w:rPr>
        <w:t xml:space="preserve">, not-for-profit </w:t>
      </w:r>
      <w:r w:rsidR="00FA4098">
        <w:rPr>
          <w:rFonts w:ascii="Times New Roman" w:hAnsi="Times New Roman" w:cs="Times New Roman"/>
          <w:sz w:val="24"/>
          <w:szCs w:val="24"/>
        </w:rPr>
        <w:t xml:space="preserve">sector </w:t>
      </w:r>
      <w:r w:rsidRPr="00894619">
        <w:rPr>
          <w:rFonts w:ascii="Times New Roman" w:hAnsi="Times New Roman" w:cs="Times New Roman"/>
          <w:sz w:val="24"/>
          <w:szCs w:val="24"/>
        </w:rPr>
        <w:t>and other stakeholders in achieving public policy objectives and improved outcomes for citizens</w:t>
      </w:r>
      <w:r w:rsidRPr="00894619">
        <w:rPr>
          <w:rStyle w:val="FootnoteReference"/>
          <w:rFonts w:ascii="Times New Roman" w:hAnsi="Times New Roman" w:cs="Times New Roman"/>
          <w:sz w:val="24"/>
          <w:szCs w:val="24"/>
        </w:rPr>
        <w:footnoteReference w:id="3"/>
      </w:r>
      <w:r w:rsidRPr="00894619">
        <w:rPr>
          <w:rFonts w:ascii="Times New Roman" w:hAnsi="Times New Roman" w:cs="Times New Roman"/>
          <w:sz w:val="24"/>
          <w:szCs w:val="24"/>
        </w:rPr>
        <w:t xml:space="preserve">. </w:t>
      </w:r>
    </w:p>
    <w:p w:rsidR="006473CB" w:rsidRPr="001C2DF3" w:rsidRDefault="006473CB" w:rsidP="006473CB">
      <w:pPr>
        <w:pStyle w:val="CABNETParagraph"/>
        <w:numPr>
          <w:ilvl w:val="0"/>
          <w:numId w:val="2"/>
        </w:numPr>
        <w:rPr>
          <w:rFonts w:ascii="Times New Roman" w:hAnsi="Times New Roman" w:cs="Times New Roman"/>
          <w:sz w:val="24"/>
          <w:szCs w:val="24"/>
        </w:rPr>
      </w:pPr>
      <w:r w:rsidRPr="00894619">
        <w:rPr>
          <w:rFonts w:ascii="Times New Roman" w:hAnsi="Times New Roman" w:cs="Times New Roman"/>
          <w:sz w:val="24"/>
          <w:szCs w:val="24"/>
        </w:rPr>
        <w:t>Express provisions in the PGPA Act are designed to help this happen</w:t>
      </w:r>
      <w:r w:rsidR="004B65DF">
        <w:rPr>
          <w:rFonts w:ascii="Times New Roman" w:hAnsi="Times New Roman" w:cs="Times New Roman"/>
          <w:sz w:val="24"/>
          <w:szCs w:val="24"/>
        </w:rPr>
        <w:t>:</w:t>
      </w:r>
      <w:r w:rsidRPr="00894619">
        <w:rPr>
          <w:rFonts w:ascii="Times New Roman" w:hAnsi="Times New Roman" w:cs="Times New Roman"/>
          <w:sz w:val="24"/>
          <w:szCs w:val="24"/>
        </w:rPr>
        <w:t xml:space="preserve"> for example</w:t>
      </w:r>
      <w:r w:rsidR="004B65DF">
        <w:rPr>
          <w:rFonts w:ascii="Times New Roman" w:hAnsi="Times New Roman" w:cs="Times New Roman"/>
          <w:sz w:val="24"/>
          <w:szCs w:val="24"/>
        </w:rPr>
        <w:t>,</w:t>
      </w:r>
      <w:r w:rsidRPr="00894619">
        <w:rPr>
          <w:rFonts w:ascii="Times New Roman" w:hAnsi="Times New Roman" w:cs="Times New Roman"/>
          <w:sz w:val="24"/>
          <w:szCs w:val="24"/>
        </w:rPr>
        <w:t xml:space="preserve"> accountable authority instructions (section 20A); the power to establish advisory boards (section 24); other CRF money (section 105); accountable authority delegations (section 110); and prescribing persons outside the Commonwealth as officials (PGPA Rule, item 1A, section 9(1)). </w:t>
      </w:r>
      <w:r w:rsidR="004B65DF">
        <w:rPr>
          <w:rFonts w:ascii="Times New Roman" w:hAnsi="Times New Roman" w:cs="Times New Roman"/>
          <w:sz w:val="24"/>
          <w:szCs w:val="24"/>
        </w:rPr>
        <w:t>The Act also provides</w:t>
      </w:r>
      <w:r w:rsidRPr="00894619">
        <w:rPr>
          <w:rFonts w:ascii="Times New Roman" w:hAnsi="Times New Roman" w:cs="Times New Roman"/>
          <w:sz w:val="24"/>
          <w:szCs w:val="24"/>
        </w:rPr>
        <w:t xml:space="preserve"> legislative tools that can be used by an accountable authority to promote a culture of cooperation. For example, </w:t>
      </w:r>
      <w:r w:rsidR="004B65DF">
        <w:rPr>
          <w:rFonts w:ascii="Times New Roman" w:hAnsi="Times New Roman" w:cs="Times New Roman"/>
          <w:sz w:val="24"/>
          <w:szCs w:val="24"/>
        </w:rPr>
        <w:t>the</w:t>
      </w:r>
      <w:r>
        <w:rPr>
          <w:rFonts w:ascii="Times New Roman" w:hAnsi="Times New Roman" w:cs="Times New Roman"/>
          <w:sz w:val="24"/>
          <w:szCs w:val="24"/>
        </w:rPr>
        <w:t xml:space="preserve"> </w:t>
      </w:r>
      <w:r w:rsidRPr="004916BD">
        <w:rPr>
          <w:rFonts w:ascii="Times New Roman" w:hAnsi="Times New Roman" w:cs="Times New Roman"/>
          <w:sz w:val="24"/>
          <w:szCs w:val="24"/>
        </w:rPr>
        <w:t>accountable authorit</w:t>
      </w:r>
      <w:r>
        <w:rPr>
          <w:rFonts w:ascii="Times New Roman" w:hAnsi="Times New Roman" w:cs="Times New Roman"/>
          <w:sz w:val="24"/>
          <w:szCs w:val="24"/>
        </w:rPr>
        <w:t xml:space="preserve">y of a non-Corporate Commonwealth entity can </w:t>
      </w:r>
      <w:r w:rsidRPr="004916BD">
        <w:rPr>
          <w:rFonts w:ascii="Times New Roman" w:hAnsi="Times New Roman" w:cs="Times New Roman"/>
          <w:sz w:val="24"/>
          <w:szCs w:val="24"/>
        </w:rPr>
        <w:t xml:space="preserve">provide delegations and instructions to officials in another entity to </w:t>
      </w:r>
      <w:r>
        <w:rPr>
          <w:rFonts w:ascii="Times New Roman" w:hAnsi="Times New Roman" w:cs="Times New Roman"/>
          <w:sz w:val="24"/>
          <w:szCs w:val="24"/>
        </w:rPr>
        <w:t>support a</w:t>
      </w:r>
      <w:r w:rsidRPr="004916BD">
        <w:rPr>
          <w:rFonts w:ascii="Times New Roman" w:hAnsi="Times New Roman" w:cs="Times New Roman"/>
          <w:sz w:val="24"/>
          <w:szCs w:val="24"/>
        </w:rPr>
        <w:t xml:space="preserve"> joint activity</w:t>
      </w:r>
      <w:r>
        <w:rPr>
          <w:rFonts w:ascii="Times New Roman" w:hAnsi="Times New Roman" w:cs="Times New Roman"/>
          <w:sz w:val="24"/>
          <w:szCs w:val="24"/>
        </w:rPr>
        <w:t>, or can delegate to a person outside the Commonwealth to perform certain functions under the PGPA Act</w:t>
      </w:r>
      <w:r w:rsidRPr="004916BD">
        <w:rPr>
          <w:rFonts w:ascii="Times New Roman" w:hAnsi="Times New Roman" w:cs="Times New Roman"/>
          <w:sz w:val="24"/>
          <w:szCs w:val="24"/>
        </w:rPr>
        <w:t xml:space="preserve">. </w:t>
      </w:r>
    </w:p>
    <w:p w:rsidR="006473CB" w:rsidRPr="004916BD" w:rsidRDefault="006473CB" w:rsidP="006473CB">
      <w:pPr>
        <w:pStyle w:val="CABNETParagraph"/>
        <w:numPr>
          <w:ilvl w:val="0"/>
          <w:numId w:val="2"/>
        </w:numPr>
        <w:rPr>
          <w:rFonts w:ascii="Times New Roman" w:hAnsi="Times New Roman" w:cs="Times New Roman"/>
          <w:sz w:val="24"/>
          <w:szCs w:val="24"/>
        </w:rPr>
      </w:pPr>
      <w:r w:rsidRPr="004916BD">
        <w:rPr>
          <w:rFonts w:ascii="Times New Roman" w:hAnsi="Times New Roman" w:cs="Times New Roman"/>
          <w:sz w:val="24"/>
          <w:szCs w:val="24"/>
        </w:rPr>
        <w:t xml:space="preserve">This emphasis on cooperation is </w:t>
      </w:r>
      <w:r>
        <w:rPr>
          <w:rFonts w:ascii="Times New Roman" w:hAnsi="Times New Roman" w:cs="Times New Roman"/>
          <w:sz w:val="24"/>
          <w:szCs w:val="24"/>
        </w:rPr>
        <w:t xml:space="preserve">a </w:t>
      </w:r>
      <w:r w:rsidRPr="004916BD">
        <w:rPr>
          <w:rFonts w:ascii="Times New Roman" w:hAnsi="Times New Roman" w:cs="Times New Roman"/>
          <w:sz w:val="24"/>
          <w:szCs w:val="24"/>
        </w:rPr>
        <w:t xml:space="preserve">new </w:t>
      </w:r>
      <w:r>
        <w:rPr>
          <w:rFonts w:ascii="Times New Roman" w:hAnsi="Times New Roman" w:cs="Times New Roman"/>
          <w:sz w:val="24"/>
          <w:szCs w:val="24"/>
        </w:rPr>
        <w:t xml:space="preserve">requirement </w:t>
      </w:r>
      <w:r w:rsidRPr="004916BD">
        <w:rPr>
          <w:rFonts w:ascii="Times New Roman" w:hAnsi="Times New Roman" w:cs="Times New Roman"/>
          <w:sz w:val="24"/>
          <w:szCs w:val="24"/>
        </w:rPr>
        <w:t>in</w:t>
      </w:r>
      <w:r>
        <w:rPr>
          <w:rFonts w:ascii="Times New Roman" w:hAnsi="Times New Roman" w:cs="Times New Roman"/>
          <w:sz w:val="24"/>
          <w:szCs w:val="24"/>
        </w:rPr>
        <w:t xml:space="preserve"> Commonwealth resource management</w:t>
      </w:r>
      <w:r w:rsidRPr="004916BD">
        <w:rPr>
          <w:rFonts w:ascii="Times New Roman" w:hAnsi="Times New Roman" w:cs="Times New Roman"/>
          <w:sz w:val="24"/>
          <w:szCs w:val="24"/>
        </w:rPr>
        <w:t xml:space="preserve"> legislation</w:t>
      </w:r>
      <w:r w:rsidRPr="004916BD">
        <w:rPr>
          <w:rStyle w:val="FootnoteReference"/>
          <w:rFonts w:ascii="Times New Roman" w:hAnsi="Times New Roman" w:cs="Times New Roman"/>
          <w:sz w:val="24"/>
          <w:szCs w:val="24"/>
        </w:rPr>
        <w:footnoteReference w:id="4"/>
      </w:r>
      <w:r w:rsidRPr="004916BD">
        <w:rPr>
          <w:rFonts w:ascii="Times New Roman" w:hAnsi="Times New Roman" w:cs="Times New Roman"/>
          <w:sz w:val="24"/>
          <w:szCs w:val="24"/>
        </w:rPr>
        <w:t xml:space="preserve">. </w:t>
      </w:r>
    </w:p>
    <w:p w:rsidR="009E5020" w:rsidRPr="009E5020" w:rsidRDefault="004B65DF" w:rsidP="007E5F24">
      <w:pPr>
        <w:pStyle w:val="CABNETParagraph"/>
        <w:numPr>
          <w:ilvl w:val="0"/>
          <w:numId w:val="2"/>
        </w:numPr>
        <w:rPr>
          <w:rFonts w:ascii="Times New Roman" w:hAnsi="Times New Roman" w:cs="Times New Roman"/>
          <w:b/>
          <w:sz w:val="24"/>
          <w:szCs w:val="24"/>
          <w:lang w:eastAsia="en-AU"/>
        </w:rPr>
      </w:pPr>
      <w:r>
        <w:rPr>
          <w:rFonts w:ascii="Times New Roman" w:hAnsi="Times New Roman" w:cs="Times New Roman"/>
          <w:sz w:val="24"/>
          <w:szCs w:val="24"/>
        </w:rPr>
        <w:t xml:space="preserve">Finance </w:t>
      </w:r>
      <w:r w:rsidR="002D57DA">
        <w:rPr>
          <w:rFonts w:ascii="Times New Roman" w:hAnsi="Times New Roman" w:cs="Times New Roman"/>
          <w:sz w:val="24"/>
          <w:szCs w:val="24"/>
        </w:rPr>
        <w:t>has</w:t>
      </w:r>
      <w:r w:rsidR="006473CB" w:rsidRPr="004A068E">
        <w:rPr>
          <w:rFonts w:ascii="Times New Roman" w:hAnsi="Times New Roman" w:cs="Times New Roman"/>
          <w:sz w:val="24"/>
          <w:szCs w:val="24"/>
        </w:rPr>
        <w:t xml:space="preserve"> improv</w:t>
      </w:r>
      <w:r w:rsidR="002D57DA">
        <w:rPr>
          <w:rFonts w:ascii="Times New Roman" w:hAnsi="Times New Roman" w:cs="Times New Roman"/>
          <w:sz w:val="24"/>
          <w:szCs w:val="24"/>
        </w:rPr>
        <w:t>ed</w:t>
      </w:r>
      <w:r w:rsidR="006473CB" w:rsidRPr="004A068E">
        <w:rPr>
          <w:rFonts w:ascii="Times New Roman" w:hAnsi="Times New Roman" w:cs="Times New Roman"/>
          <w:sz w:val="24"/>
          <w:szCs w:val="24"/>
        </w:rPr>
        <w:t xml:space="preserve"> our guidance on how the resource management framework can support and improve cooperation</w:t>
      </w:r>
      <w:r w:rsidR="004A068E" w:rsidRPr="004916BD">
        <w:rPr>
          <w:rStyle w:val="FootnoteReference"/>
          <w:rFonts w:ascii="Times New Roman" w:hAnsi="Times New Roman" w:cs="Times New Roman"/>
          <w:sz w:val="24"/>
          <w:szCs w:val="24"/>
        </w:rPr>
        <w:footnoteReference w:id="5"/>
      </w:r>
      <w:r w:rsidR="007E5F24">
        <w:rPr>
          <w:rFonts w:ascii="Times New Roman" w:hAnsi="Times New Roman" w:cs="Times New Roman"/>
          <w:sz w:val="24"/>
          <w:szCs w:val="24"/>
        </w:rPr>
        <w:t xml:space="preserve">, this includes a </w:t>
      </w:r>
      <w:hyperlink r:id="rId9" w:history="1">
        <w:r w:rsidR="007E5F24" w:rsidRPr="002D57DA">
          <w:rPr>
            <w:rStyle w:val="Hyperlink"/>
            <w:rFonts w:ascii="Times New Roman" w:hAnsi="Times New Roman" w:cs="Times New Roman"/>
            <w:sz w:val="24"/>
            <w:szCs w:val="24"/>
          </w:rPr>
          <w:t>new online guide</w:t>
        </w:r>
      </w:hyperlink>
      <w:r w:rsidR="002D57DA">
        <w:rPr>
          <w:rFonts w:ascii="Times New Roman" w:hAnsi="Times New Roman" w:cs="Times New Roman"/>
          <w:sz w:val="24"/>
          <w:szCs w:val="24"/>
        </w:rPr>
        <w:t xml:space="preserve"> (RMG 003)</w:t>
      </w:r>
      <w:r w:rsidR="007E5F24">
        <w:rPr>
          <w:rFonts w:ascii="Times New Roman" w:hAnsi="Times New Roman" w:cs="Times New Roman"/>
          <w:sz w:val="24"/>
          <w:szCs w:val="24"/>
        </w:rPr>
        <w:t xml:space="preserve"> with examples of good resource management practices.  The purpose of this guide </w:t>
      </w:r>
      <w:r w:rsidR="002D57DA">
        <w:rPr>
          <w:rFonts w:ascii="Times New Roman" w:hAnsi="Times New Roman" w:cs="Times New Roman"/>
          <w:sz w:val="24"/>
          <w:szCs w:val="24"/>
        </w:rPr>
        <w:t xml:space="preserve">is </w:t>
      </w:r>
      <w:r w:rsidR="007E5F24">
        <w:rPr>
          <w:rFonts w:ascii="Times New Roman" w:hAnsi="Times New Roman" w:cs="Times New Roman"/>
          <w:sz w:val="24"/>
          <w:szCs w:val="24"/>
        </w:rPr>
        <w:t xml:space="preserve">to share examples of good cooperation, risk management and performance across the Commonwealth public sector.  Entities </w:t>
      </w:r>
      <w:r w:rsidR="002D57DA">
        <w:rPr>
          <w:rFonts w:ascii="Times New Roman" w:hAnsi="Times New Roman" w:cs="Times New Roman"/>
          <w:sz w:val="24"/>
          <w:szCs w:val="24"/>
        </w:rPr>
        <w:t>have also been in</w:t>
      </w:r>
      <w:r w:rsidR="007E5F24">
        <w:rPr>
          <w:rFonts w:ascii="Times New Roman" w:hAnsi="Times New Roman" w:cs="Times New Roman"/>
          <w:sz w:val="24"/>
          <w:szCs w:val="24"/>
        </w:rPr>
        <w:t>vited to share examples of practices that have helped their entity to operate more efficiently and effectively.</w:t>
      </w:r>
      <w:r w:rsidR="007E5F24" w:rsidRPr="004A068E" w:rsidDel="007E5F24">
        <w:rPr>
          <w:rFonts w:ascii="Times New Roman" w:hAnsi="Times New Roman" w:cs="Times New Roman"/>
          <w:sz w:val="24"/>
          <w:szCs w:val="24"/>
        </w:rPr>
        <w:t xml:space="preserve"> </w:t>
      </w:r>
    </w:p>
    <w:p w:rsidR="009E5020" w:rsidRPr="009E5020" w:rsidRDefault="009E5020" w:rsidP="009E5020">
      <w:pPr>
        <w:pStyle w:val="CABNETParagraph"/>
        <w:rPr>
          <w:rFonts w:ascii="Times New Roman" w:hAnsi="Times New Roman" w:cs="Times New Roman"/>
          <w:b/>
          <w:sz w:val="24"/>
          <w:szCs w:val="24"/>
          <w:lang w:eastAsia="en-AU"/>
        </w:rPr>
      </w:pPr>
    </w:p>
    <w:p w:rsidR="005B0498" w:rsidRPr="007927F9" w:rsidRDefault="004C1E01" w:rsidP="009E5020">
      <w:pPr>
        <w:pStyle w:val="CABNETParagraph"/>
        <w:rPr>
          <w:rFonts w:ascii="Times New Roman" w:hAnsi="Times New Roman" w:cs="Times New Roman"/>
          <w:b/>
          <w:sz w:val="24"/>
          <w:szCs w:val="24"/>
          <w:lang w:eastAsia="en-AU"/>
        </w:rPr>
      </w:pPr>
      <w:r w:rsidRPr="007927F9">
        <w:rPr>
          <w:rFonts w:ascii="Times New Roman" w:hAnsi="Times New Roman" w:cs="Times New Roman"/>
          <w:b/>
          <w:i/>
          <w:sz w:val="24"/>
          <w:szCs w:val="24"/>
          <w:lang w:eastAsia="en-AU"/>
        </w:rPr>
        <w:t>Cash Management scoping study</w:t>
      </w:r>
      <w:r w:rsidRPr="007927F9">
        <w:rPr>
          <w:rFonts w:ascii="Times New Roman" w:hAnsi="Times New Roman" w:cs="Times New Roman"/>
          <w:b/>
          <w:sz w:val="24"/>
          <w:szCs w:val="24"/>
          <w:lang w:eastAsia="en-AU"/>
        </w:rPr>
        <w:t xml:space="preserve"> </w:t>
      </w:r>
    </w:p>
    <w:p w:rsidR="00A81FB2" w:rsidRPr="004916BD" w:rsidRDefault="00DD5AEE" w:rsidP="00A81FB2">
      <w:pPr>
        <w:pStyle w:val="CABNE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Finance</w:t>
      </w:r>
      <w:r w:rsidR="00A81FB2">
        <w:rPr>
          <w:rFonts w:ascii="Times New Roman" w:hAnsi="Times New Roman" w:cs="Times New Roman"/>
          <w:sz w:val="24"/>
          <w:szCs w:val="24"/>
        </w:rPr>
        <w:t xml:space="preserve"> has completed an internal scoping study on curre</w:t>
      </w:r>
      <w:r w:rsidR="00A81FB2" w:rsidRPr="004916BD">
        <w:rPr>
          <w:rFonts w:ascii="Times New Roman" w:hAnsi="Times New Roman" w:cs="Times New Roman"/>
          <w:sz w:val="24"/>
          <w:szCs w:val="24"/>
        </w:rPr>
        <w:t xml:space="preserve">nt practices in Commonwealth cash management and banking </w:t>
      </w:r>
      <w:r w:rsidR="00A81FB2">
        <w:rPr>
          <w:rFonts w:ascii="Times New Roman" w:hAnsi="Times New Roman" w:cs="Times New Roman"/>
          <w:sz w:val="24"/>
          <w:szCs w:val="24"/>
        </w:rPr>
        <w:t>arrangement</w:t>
      </w:r>
      <w:r w:rsidR="00A81FB2" w:rsidRPr="004916BD">
        <w:rPr>
          <w:rFonts w:ascii="Times New Roman" w:hAnsi="Times New Roman" w:cs="Times New Roman"/>
          <w:sz w:val="24"/>
          <w:szCs w:val="24"/>
        </w:rPr>
        <w:t xml:space="preserve">s. The scoping study includes recommendations that </w:t>
      </w:r>
      <w:r>
        <w:rPr>
          <w:rFonts w:ascii="Times New Roman" w:hAnsi="Times New Roman" w:cs="Times New Roman"/>
          <w:sz w:val="24"/>
          <w:szCs w:val="24"/>
        </w:rPr>
        <w:t xml:space="preserve">are currently being </w:t>
      </w:r>
      <w:r w:rsidR="00A81FB2" w:rsidRPr="004916BD">
        <w:rPr>
          <w:rFonts w:ascii="Times New Roman" w:hAnsi="Times New Roman" w:cs="Times New Roman"/>
          <w:sz w:val="24"/>
          <w:szCs w:val="24"/>
        </w:rPr>
        <w:t>implemented in business</w:t>
      </w:r>
      <w:r w:rsidR="00A81FB2">
        <w:rPr>
          <w:rFonts w:ascii="Times New Roman" w:hAnsi="Times New Roman" w:cs="Times New Roman"/>
          <w:sz w:val="24"/>
          <w:szCs w:val="24"/>
        </w:rPr>
        <w:noBreakHyphen/>
      </w:r>
      <w:r w:rsidR="00A81FB2" w:rsidRPr="004916BD">
        <w:rPr>
          <w:rFonts w:ascii="Times New Roman" w:hAnsi="Times New Roman" w:cs="Times New Roman"/>
          <w:sz w:val="24"/>
          <w:szCs w:val="24"/>
        </w:rPr>
        <w:t>as</w:t>
      </w:r>
      <w:r w:rsidR="00A81FB2">
        <w:rPr>
          <w:rFonts w:ascii="Times New Roman" w:hAnsi="Times New Roman" w:cs="Times New Roman"/>
          <w:sz w:val="24"/>
          <w:szCs w:val="24"/>
        </w:rPr>
        <w:noBreakHyphen/>
      </w:r>
      <w:r w:rsidR="00A81FB2" w:rsidRPr="004916BD">
        <w:rPr>
          <w:rFonts w:ascii="Times New Roman" w:hAnsi="Times New Roman" w:cs="Times New Roman"/>
          <w:sz w:val="24"/>
          <w:szCs w:val="24"/>
        </w:rPr>
        <w:t>usual mode by the responsible areas in Finance,</w:t>
      </w:r>
      <w:r w:rsidR="00A81FB2">
        <w:rPr>
          <w:rFonts w:ascii="Times New Roman" w:hAnsi="Times New Roman" w:cs="Times New Roman"/>
          <w:sz w:val="24"/>
          <w:szCs w:val="24"/>
        </w:rPr>
        <w:t xml:space="preserve"> including through updated guidance. It also recommends </w:t>
      </w:r>
      <w:r w:rsidR="00A81FB2" w:rsidRPr="004916BD">
        <w:rPr>
          <w:rFonts w:ascii="Times New Roman" w:hAnsi="Times New Roman" w:cs="Times New Roman"/>
          <w:sz w:val="24"/>
          <w:szCs w:val="24"/>
        </w:rPr>
        <w:t xml:space="preserve">a watching brief on </w:t>
      </w:r>
      <w:r w:rsidR="00A81FB2">
        <w:rPr>
          <w:rFonts w:ascii="Times New Roman" w:hAnsi="Times New Roman" w:cs="Times New Roman"/>
          <w:sz w:val="24"/>
          <w:szCs w:val="24"/>
        </w:rPr>
        <w:t xml:space="preserve">current and </w:t>
      </w:r>
      <w:r w:rsidR="00A81FB2" w:rsidRPr="004916BD">
        <w:rPr>
          <w:rFonts w:ascii="Times New Roman" w:hAnsi="Times New Roman" w:cs="Times New Roman"/>
          <w:sz w:val="24"/>
          <w:szCs w:val="24"/>
        </w:rPr>
        <w:t>prospective developments in technology</w:t>
      </w:r>
      <w:r w:rsidR="00A81FB2">
        <w:rPr>
          <w:rFonts w:ascii="Times New Roman" w:hAnsi="Times New Roman" w:cs="Times New Roman"/>
          <w:sz w:val="24"/>
          <w:szCs w:val="24"/>
        </w:rPr>
        <w:t xml:space="preserve"> and practice in the banking sector</w:t>
      </w:r>
      <w:r w:rsidR="00A81FB2" w:rsidRPr="004916BD">
        <w:rPr>
          <w:rFonts w:ascii="Times New Roman" w:hAnsi="Times New Roman" w:cs="Times New Roman"/>
          <w:sz w:val="24"/>
          <w:szCs w:val="24"/>
        </w:rPr>
        <w:t>, to ensure government is able to respond to a shifting environment and new opportunities.</w:t>
      </w:r>
    </w:p>
    <w:p w:rsidR="006473CB" w:rsidRPr="007927F9" w:rsidRDefault="00ED5F64" w:rsidP="006473CB">
      <w:pPr>
        <w:rPr>
          <w:rFonts w:ascii="Times New Roman" w:hAnsi="Times New Roman"/>
          <w:b/>
          <w:i/>
          <w:sz w:val="24"/>
          <w:szCs w:val="24"/>
        </w:rPr>
      </w:pPr>
      <w:r>
        <w:rPr>
          <w:rFonts w:ascii="Times New Roman" w:hAnsi="Times New Roman"/>
          <w:b/>
          <w:i/>
          <w:sz w:val="24"/>
          <w:szCs w:val="24"/>
        </w:rPr>
        <w:br/>
      </w:r>
      <w:r w:rsidR="006473CB" w:rsidRPr="007927F9">
        <w:rPr>
          <w:rFonts w:ascii="Times New Roman" w:hAnsi="Times New Roman"/>
          <w:b/>
          <w:i/>
          <w:sz w:val="24"/>
          <w:szCs w:val="24"/>
        </w:rPr>
        <w:t>Appropriations and entity resourcing</w:t>
      </w:r>
    </w:p>
    <w:p w:rsidR="006473CB" w:rsidRPr="005C51AD" w:rsidRDefault="0089257A" w:rsidP="005C51AD">
      <w:pPr>
        <w:pStyle w:val="CABNETParagraph"/>
        <w:numPr>
          <w:ilvl w:val="0"/>
          <w:numId w:val="2"/>
        </w:numPr>
        <w:rPr>
          <w:rFonts w:ascii="Times New Roman" w:hAnsi="Times New Roman" w:cs="Times New Roman"/>
          <w:sz w:val="24"/>
          <w:szCs w:val="24"/>
        </w:rPr>
      </w:pPr>
      <w:r w:rsidRPr="005C51AD">
        <w:rPr>
          <w:rFonts w:ascii="Times New Roman" w:hAnsi="Times New Roman" w:cs="Times New Roman"/>
          <w:sz w:val="24"/>
          <w:szCs w:val="24"/>
        </w:rPr>
        <w:t>Finance continues to examine the appropriations, budget, and agency resourcing frameworks to encourage ongoing financial sustainability and flexibility and improvements to public sector productivity.</w:t>
      </w:r>
    </w:p>
    <w:p w:rsidR="00384963" w:rsidRPr="007927F9" w:rsidRDefault="0089257A" w:rsidP="008C43C0">
      <w:pPr>
        <w:pStyle w:val="Heading2"/>
        <w:spacing w:before="120"/>
        <w:ind w:hanging="426"/>
        <w:rPr>
          <w:rFonts w:ascii="Times New Roman" w:hAnsi="Times New Roman" w:cs="Times New Roman"/>
          <w:i/>
          <w:color w:val="auto"/>
          <w:sz w:val="28"/>
          <w:szCs w:val="28"/>
        </w:rPr>
      </w:pPr>
      <w:r>
        <w:rPr>
          <w:rFonts w:ascii="Times New Roman" w:hAnsi="Times New Roman" w:cs="Times New Roman"/>
          <w:i/>
          <w:color w:val="auto"/>
          <w:sz w:val="28"/>
          <w:szCs w:val="28"/>
        </w:rPr>
        <w:br/>
      </w:r>
      <w:r w:rsidR="005E0875" w:rsidRPr="007927F9">
        <w:rPr>
          <w:rFonts w:ascii="Times New Roman" w:hAnsi="Times New Roman" w:cs="Times New Roman"/>
          <w:i/>
          <w:color w:val="auto"/>
          <w:sz w:val="28"/>
          <w:szCs w:val="28"/>
        </w:rPr>
        <w:t>Other current activities</w:t>
      </w:r>
      <w:r w:rsidR="007D7249" w:rsidRPr="007927F9">
        <w:rPr>
          <w:rFonts w:ascii="Times New Roman" w:hAnsi="Times New Roman" w:cs="Times New Roman"/>
          <w:i/>
          <w:color w:val="auto"/>
          <w:sz w:val="28"/>
          <w:szCs w:val="28"/>
        </w:rPr>
        <w:t xml:space="preserve"> </w:t>
      </w:r>
    </w:p>
    <w:p w:rsidR="00A36312" w:rsidRDefault="006D60EE" w:rsidP="00A75EBC">
      <w:pPr>
        <w:pStyle w:val="CABNETParagraph"/>
        <w:numPr>
          <w:ilvl w:val="0"/>
          <w:numId w:val="2"/>
        </w:numPr>
        <w:rPr>
          <w:rFonts w:ascii="Times New Roman" w:hAnsi="Times New Roman" w:cs="Times New Roman"/>
          <w:sz w:val="24"/>
          <w:szCs w:val="24"/>
        </w:rPr>
      </w:pPr>
      <w:r w:rsidRPr="004916BD">
        <w:rPr>
          <w:rFonts w:ascii="Times New Roman" w:hAnsi="Times New Roman" w:cs="Times New Roman"/>
          <w:sz w:val="24"/>
          <w:szCs w:val="24"/>
        </w:rPr>
        <w:t xml:space="preserve">Finance is undertaking a range of activities to help entities utilise the scope offered by the PGPA Act to refine process and reduce compliance requirements. </w:t>
      </w:r>
    </w:p>
    <w:p w:rsidR="007C260B" w:rsidRPr="009D5E93" w:rsidRDefault="00E46B22" w:rsidP="00A36312">
      <w:pPr>
        <w:pStyle w:val="CABNETParagraph"/>
        <w:rPr>
          <w:rFonts w:ascii="Times New Roman" w:hAnsi="Times New Roman" w:cs="Times New Roman"/>
          <w:b/>
          <w:i/>
          <w:sz w:val="24"/>
          <w:szCs w:val="24"/>
        </w:rPr>
      </w:pPr>
      <w:r>
        <w:rPr>
          <w:rFonts w:ascii="Times New Roman" w:hAnsi="Times New Roman" w:cs="Times New Roman"/>
          <w:b/>
          <w:i/>
          <w:sz w:val="24"/>
          <w:szCs w:val="24"/>
        </w:rPr>
        <w:br/>
      </w:r>
      <w:r w:rsidR="007C260B" w:rsidRPr="009D5E93">
        <w:rPr>
          <w:rFonts w:ascii="Times New Roman" w:hAnsi="Times New Roman" w:cs="Times New Roman"/>
          <w:b/>
          <w:i/>
          <w:sz w:val="24"/>
          <w:szCs w:val="24"/>
        </w:rPr>
        <w:t>Compliance</w:t>
      </w:r>
    </w:p>
    <w:p w:rsidR="00A81FB2" w:rsidRDefault="00A81FB2" w:rsidP="00A81FB2">
      <w:pPr>
        <w:pStyle w:val="NumberedParagraph"/>
        <w:numPr>
          <w:ilvl w:val="0"/>
          <w:numId w:val="2"/>
        </w:numPr>
        <w:spacing w:after="120"/>
      </w:pPr>
      <w:r>
        <w:t>A revised compliance reporting approach, that streamlines and enhances the reporting of non-compliance with the finance law, is now in place</w:t>
      </w:r>
      <w:r w:rsidRPr="00603FEE">
        <w:t xml:space="preserve">.  </w:t>
      </w:r>
    </w:p>
    <w:p w:rsidR="00A81FB2" w:rsidRPr="00A81FB2" w:rsidRDefault="00A81FB2" w:rsidP="00A81FB2">
      <w:pPr>
        <w:pStyle w:val="NumberedParagraph"/>
        <w:numPr>
          <w:ilvl w:val="0"/>
          <w:numId w:val="2"/>
        </w:numPr>
        <w:spacing w:after="120"/>
      </w:pPr>
      <w:r>
        <w:rPr>
          <w:color w:val="000000" w:themeColor="text1"/>
        </w:rPr>
        <w:t>The</w:t>
      </w:r>
      <w:r>
        <w:t xml:space="preserve"> </w:t>
      </w:r>
      <w:r>
        <w:rPr>
          <w:color w:val="000000" w:themeColor="text1"/>
        </w:rPr>
        <w:t>Belcher Red Tape Review recommended that ‘</w:t>
      </w:r>
      <w:r w:rsidR="00780073" w:rsidRPr="00493085">
        <w:fldChar w:fldCharType="begin"/>
      </w:r>
      <w:r w:rsidRPr="00493085">
        <w:instrText xml:space="preserve"> LINK Word.Document.12 "C:\\Users\\priste\\AppData\\Local\\Microsoft\\Windows\\Temporary Internet Files\\report\\Final Report (Aug15)\\POST Secretary - draft for SCoT - Independent Review of Whole of Government Internal Regulation Recommendations.docx" OLE_LINK21 \a \h  \* MERGEFORMAT </w:instrText>
      </w:r>
      <w:r w:rsidR="00780073" w:rsidRPr="00493085">
        <w:fldChar w:fldCharType="separate"/>
      </w:r>
      <w:r w:rsidRPr="00493085">
        <w:t>Finance cease centrally mandated compliance certification, monitoring and reporting.</w:t>
      </w:r>
      <w:r w:rsidR="00780073" w:rsidRPr="00493085">
        <w:fldChar w:fldCharType="end"/>
      </w:r>
      <w:r w:rsidRPr="00493085">
        <w:t>’</w:t>
      </w:r>
      <w:r>
        <w:t xml:space="preserve">  The review noted that the previous certificate of compliance process</w:t>
      </w:r>
      <w:r w:rsidRPr="00E2113B">
        <w:t xml:space="preserve"> impose</w:t>
      </w:r>
      <w:r>
        <w:t>d</w:t>
      </w:r>
      <w:r w:rsidRPr="00E2113B">
        <w:t xml:space="preserve"> burden without additional benefit and d</w:t>
      </w:r>
      <w:r>
        <w:t>id</w:t>
      </w:r>
      <w:r w:rsidRPr="00E2113B">
        <w:t xml:space="preserve"> not reflect </w:t>
      </w:r>
      <w:r>
        <w:t xml:space="preserve">the </w:t>
      </w:r>
      <w:r w:rsidRPr="00E2113B">
        <w:t>increased maturity</w:t>
      </w:r>
      <w:r>
        <w:t xml:space="preserve"> of control and compliance systems in Commonwealth entities.  Feedback from entities overwhelmingly </w:t>
      </w:r>
      <w:r w:rsidRPr="00A81FB2">
        <w:t xml:space="preserve">supported its discontinuation. </w:t>
      </w:r>
    </w:p>
    <w:p w:rsidR="00A81FB2" w:rsidRPr="004B7BD8" w:rsidRDefault="00A81FB2" w:rsidP="00A81FB2">
      <w:pPr>
        <w:pStyle w:val="CABNETParagraph"/>
        <w:numPr>
          <w:ilvl w:val="0"/>
          <w:numId w:val="2"/>
        </w:numPr>
        <w:rPr>
          <w:rFonts w:ascii="Times New Roman" w:hAnsi="Times New Roman" w:cs="Times New Roman"/>
          <w:sz w:val="24"/>
          <w:szCs w:val="24"/>
        </w:rPr>
      </w:pPr>
      <w:r w:rsidRPr="00A81FB2">
        <w:rPr>
          <w:rFonts w:ascii="Times New Roman" w:hAnsi="Times New Roman" w:cs="Times New Roman"/>
          <w:sz w:val="24"/>
          <w:szCs w:val="24"/>
        </w:rPr>
        <w:t xml:space="preserve">The new approach, developed in consultation with the ANAO and the </w:t>
      </w:r>
      <w:r w:rsidR="00AF5463">
        <w:rPr>
          <w:rFonts w:ascii="Times New Roman" w:hAnsi="Times New Roman" w:cs="Times New Roman"/>
          <w:sz w:val="24"/>
          <w:szCs w:val="24"/>
        </w:rPr>
        <w:t>Committee</w:t>
      </w:r>
      <w:r w:rsidRPr="00A81FB2">
        <w:rPr>
          <w:rFonts w:ascii="Times New Roman" w:hAnsi="Times New Roman" w:cs="Times New Roman"/>
          <w:sz w:val="24"/>
          <w:szCs w:val="24"/>
        </w:rPr>
        <w:t>,</w:t>
      </w:r>
      <w:r>
        <w:rPr>
          <w:rFonts w:ascii="Times New Roman" w:hAnsi="Times New Roman" w:cs="Times New Roman"/>
          <w:sz w:val="24"/>
          <w:szCs w:val="24"/>
        </w:rPr>
        <w:t xml:space="preserve"> </w:t>
      </w:r>
      <w:r w:rsidRPr="004B7BD8">
        <w:rPr>
          <w:rFonts w:ascii="Times New Roman" w:hAnsi="Times New Roman" w:cs="Times New Roman"/>
          <w:sz w:val="24"/>
          <w:szCs w:val="24"/>
        </w:rPr>
        <w:t>enhance</w:t>
      </w:r>
      <w:r>
        <w:rPr>
          <w:rFonts w:ascii="Times New Roman" w:hAnsi="Times New Roman" w:cs="Times New Roman"/>
          <w:sz w:val="24"/>
          <w:szCs w:val="24"/>
        </w:rPr>
        <w:t>s</w:t>
      </w:r>
      <w:r w:rsidRPr="004B7BD8">
        <w:rPr>
          <w:rFonts w:ascii="Times New Roman" w:hAnsi="Times New Roman" w:cs="Times New Roman"/>
          <w:sz w:val="24"/>
          <w:szCs w:val="24"/>
        </w:rPr>
        <w:t xml:space="preserve"> the quality of compliance information to Ministers and the Parliament by focussing on substantive non-compliance matters rather than minor administrative issues.  Information </w:t>
      </w:r>
      <w:r>
        <w:rPr>
          <w:rFonts w:ascii="Times New Roman" w:hAnsi="Times New Roman" w:cs="Times New Roman"/>
          <w:sz w:val="24"/>
          <w:szCs w:val="24"/>
        </w:rPr>
        <w:t>is now</w:t>
      </w:r>
      <w:r w:rsidRPr="004B7BD8">
        <w:rPr>
          <w:rFonts w:ascii="Times New Roman" w:hAnsi="Times New Roman" w:cs="Times New Roman"/>
          <w:sz w:val="24"/>
          <w:szCs w:val="24"/>
        </w:rPr>
        <w:t xml:space="preserve"> reported to Ministers at the time significant non-compliance issues are identified and also reported to the Parliament by entities in annual reports.  The key features are:</w:t>
      </w:r>
    </w:p>
    <w:p w:rsidR="00A81FB2" w:rsidRPr="004B7BD8" w:rsidRDefault="00A81FB2" w:rsidP="00A81FB2">
      <w:pPr>
        <w:pStyle w:val="CABNETParagraph"/>
        <w:numPr>
          <w:ilvl w:val="1"/>
          <w:numId w:val="2"/>
        </w:numPr>
        <w:spacing w:before="0" w:after="0"/>
        <w:ind w:left="1434" w:hanging="357"/>
        <w:rPr>
          <w:rFonts w:ascii="Times New Roman" w:hAnsi="Times New Roman"/>
          <w:sz w:val="24"/>
          <w:szCs w:val="24"/>
        </w:rPr>
      </w:pPr>
      <w:r w:rsidRPr="004B7BD8">
        <w:rPr>
          <w:rFonts w:ascii="Times New Roman" w:hAnsi="Times New Roman"/>
          <w:sz w:val="24"/>
          <w:szCs w:val="24"/>
        </w:rPr>
        <w:t>entities monitoring compliance with internal and legislative requirements and government policies as an integral part of their internal control systems;</w:t>
      </w:r>
    </w:p>
    <w:p w:rsidR="00A81FB2" w:rsidRPr="003E695F" w:rsidRDefault="00A81FB2" w:rsidP="00A81FB2">
      <w:pPr>
        <w:pStyle w:val="CABNETParagraph"/>
        <w:numPr>
          <w:ilvl w:val="1"/>
          <w:numId w:val="2"/>
        </w:numPr>
        <w:spacing w:before="0" w:after="0"/>
        <w:ind w:left="1434" w:hanging="357"/>
        <w:rPr>
          <w:rFonts w:ascii="Times New Roman" w:hAnsi="Times New Roman"/>
          <w:sz w:val="24"/>
          <w:szCs w:val="24"/>
        </w:rPr>
      </w:pPr>
      <w:r w:rsidRPr="003E695F">
        <w:rPr>
          <w:rFonts w:ascii="Times New Roman" w:hAnsi="Times New Roman"/>
          <w:sz w:val="24"/>
          <w:szCs w:val="24"/>
        </w:rPr>
        <w:t xml:space="preserve">significant non-compliance issues reported to entities’ responsible Ministers and the Finance Minister under section 19 of the PGPA Act, </w:t>
      </w:r>
      <w:r>
        <w:rPr>
          <w:rFonts w:ascii="Times New Roman" w:hAnsi="Times New Roman"/>
          <w:sz w:val="24"/>
          <w:szCs w:val="24"/>
        </w:rPr>
        <w:t>f</w:t>
      </w:r>
      <w:r w:rsidRPr="003E695F">
        <w:rPr>
          <w:rFonts w:ascii="Times New Roman" w:hAnsi="Times New Roman"/>
          <w:sz w:val="24"/>
          <w:szCs w:val="24"/>
        </w:rPr>
        <w:t>ocus</w:t>
      </w:r>
      <w:r>
        <w:rPr>
          <w:rFonts w:ascii="Times New Roman" w:hAnsi="Times New Roman"/>
          <w:sz w:val="24"/>
          <w:szCs w:val="24"/>
        </w:rPr>
        <w:t>ing</w:t>
      </w:r>
      <w:r w:rsidRPr="003E695F">
        <w:rPr>
          <w:rFonts w:ascii="Times New Roman" w:hAnsi="Times New Roman"/>
          <w:sz w:val="24"/>
          <w:szCs w:val="24"/>
        </w:rPr>
        <w:t xml:space="preserve"> on remedial action;</w:t>
      </w:r>
    </w:p>
    <w:p w:rsidR="00A81FB2" w:rsidRPr="003E695F" w:rsidRDefault="00A81FB2" w:rsidP="00A81FB2">
      <w:pPr>
        <w:pStyle w:val="CABNETParagraph"/>
        <w:numPr>
          <w:ilvl w:val="1"/>
          <w:numId w:val="2"/>
        </w:numPr>
        <w:spacing w:before="0" w:after="0"/>
        <w:ind w:left="1434" w:hanging="357"/>
        <w:rPr>
          <w:rFonts w:ascii="Times New Roman" w:hAnsi="Times New Roman"/>
          <w:sz w:val="24"/>
          <w:szCs w:val="24"/>
        </w:rPr>
      </w:pPr>
      <w:r w:rsidRPr="003E695F">
        <w:rPr>
          <w:rFonts w:ascii="Times New Roman" w:hAnsi="Times New Roman"/>
          <w:sz w:val="24"/>
          <w:szCs w:val="24"/>
        </w:rPr>
        <w:t>significant issues reported</w:t>
      </w:r>
      <w:r w:rsidR="00862121">
        <w:rPr>
          <w:rFonts w:ascii="Times New Roman" w:hAnsi="Times New Roman"/>
          <w:sz w:val="24"/>
          <w:szCs w:val="24"/>
        </w:rPr>
        <w:t xml:space="preserve"> and</w:t>
      </w:r>
      <w:r w:rsidRPr="003E695F">
        <w:rPr>
          <w:rFonts w:ascii="Times New Roman" w:hAnsi="Times New Roman"/>
          <w:sz w:val="24"/>
          <w:szCs w:val="24"/>
        </w:rPr>
        <w:t xml:space="preserve"> disclosed in entities’ annual reports;</w:t>
      </w:r>
    </w:p>
    <w:p w:rsidR="00A81FB2" w:rsidRPr="004B7BD8" w:rsidRDefault="00A81FB2" w:rsidP="00A81FB2">
      <w:pPr>
        <w:pStyle w:val="CABNETParagraph"/>
        <w:numPr>
          <w:ilvl w:val="1"/>
          <w:numId w:val="2"/>
        </w:numPr>
        <w:spacing w:before="0" w:after="0"/>
        <w:ind w:left="1434" w:hanging="357"/>
        <w:rPr>
          <w:rFonts w:ascii="Times New Roman" w:hAnsi="Times New Roman"/>
          <w:sz w:val="24"/>
          <w:szCs w:val="24"/>
        </w:rPr>
      </w:pPr>
      <w:r w:rsidRPr="000F7CA7">
        <w:rPr>
          <w:rFonts w:ascii="Times New Roman" w:hAnsi="Times New Roman"/>
          <w:sz w:val="24"/>
          <w:szCs w:val="24"/>
        </w:rPr>
        <w:t>Finance survey</w:t>
      </w:r>
      <w:r>
        <w:rPr>
          <w:rFonts w:ascii="Times New Roman" w:hAnsi="Times New Roman"/>
          <w:sz w:val="24"/>
          <w:szCs w:val="24"/>
        </w:rPr>
        <w:t>ing</w:t>
      </w:r>
      <w:r w:rsidRPr="004B7BD8">
        <w:rPr>
          <w:rFonts w:ascii="Times New Roman" w:hAnsi="Times New Roman"/>
          <w:sz w:val="24"/>
          <w:szCs w:val="24"/>
        </w:rPr>
        <w:t xml:space="preserve"> entities to </w:t>
      </w:r>
      <w:r>
        <w:rPr>
          <w:rFonts w:ascii="Times New Roman" w:hAnsi="Times New Roman"/>
          <w:sz w:val="24"/>
          <w:szCs w:val="24"/>
        </w:rPr>
        <w:t>obtain</w:t>
      </w:r>
      <w:r w:rsidRPr="004B7BD8">
        <w:rPr>
          <w:rFonts w:ascii="Times New Roman" w:hAnsi="Times New Roman"/>
          <w:sz w:val="24"/>
          <w:szCs w:val="24"/>
        </w:rPr>
        <w:t xml:space="preserve"> feedback on issues they may have in applying the resource management framework and briefing the Finance Minister on the results of that survey; and</w:t>
      </w:r>
    </w:p>
    <w:p w:rsidR="00A81FB2" w:rsidRDefault="00A81FB2" w:rsidP="00A81FB2">
      <w:pPr>
        <w:pStyle w:val="CABNETParagraph"/>
        <w:numPr>
          <w:ilvl w:val="1"/>
          <w:numId w:val="2"/>
        </w:numPr>
        <w:spacing w:before="0" w:after="0"/>
        <w:ind w:left="1434" w:hanging="357"/>
        <w:rPr>
          <w:rFonts w:ascii="Times New Roman" w:hAnsi="Times New Roman"/>
          <w:sz w:val="24"/>
          <w:szCs w:val="24"/>
        </w:rPr>
      </w:pPr>
      <w:r w:rsidRPr="000F7CA7">
        <w:rPr>
          <w:rFonts w:ascii="Times New Roman" w:hAnsi="Times New Roman"/>
          <w:sz w:val="24"/>
          <w:szCs w:val="24"/>
        </w:rPr>
        <w:t>Finance providing guidance to support entities in monitoring and reporting significant non-compliance issues</w:t>
      </w:r>
      <w:r>
        <w:rPr>
          <w:rFonts w:ascii="Times New Roman" w:hAnsi="Times New Roman"/>
          <w:sz w:val="24"/>
          <w:szCs w:val="24"/>
        </w:rPr>
        <w:t xml:space="preserve"> (RMG 214)</w:t>
      </w:r>
      <w:r w:rsidRPr="004B7BD8">
        <w:rPr>
          <w:rFonts w:ascii="Times New Roman" w:hAnsi="Times New Roman"/>
          <w:sz w:val="24"/>
          <w:szCs w:val="24"/>
        </w:rPr>
        <w:t>.</w:t>
      </w:r>
    </w:p>
    <w:p w:rsidR="00A81FB2" w:rsidRPr="000F7CA7" w:rsidRDefault="00E46B22" w:rsidP="00A81FB2">
      <w:pPr>
        <w:pStyle w:val="CABNETParagraph"/>
        <w:rPr>
          <w:rFonts w:ascii="Times New Roman" w:hAnsi="Times New Roman" w:cs="Times New Roman"/>
          <w:b/>
          <w:i/>
          <w:sz w:val="24"/>
          <w:szCs w:val="24"/>
        </w:rPr>
      </w:pPr>
      <w:r>
        <w:rPr>
          <w:rFonts w:ascii="Times New Roman" w:hAnsi="Times New Roman" w:cs="Times New Roman"/>
          <w:b/>
          <w:i/>
          <w:sz w:val="24"/>
          <w:szCs w:val="24"/>
        </w:rPr>
        <w:br/>
      </w:r>
      <w:r w:rsidR="00A81FB2" w:rsidRPr="000F7CA7">
        <w:rPr>
          <w:rFonts w:ascii="Times New Roman" w:hAnsi="Times New Roman" w:cs="Times New Roman"/>
          <w:b/>
          <w:i/>
          <w:sz w:val="24"/>
          <w:szCs w:val="24"/>
        </w:rPr>
        <w:t>PMRA CFO Survey</w:t>
      </w:r>
    </w:p>
    <w:p w:rsidR="00A81FB2" w:rsidRPr="006D7E8D" w:rsidRDefault="00A81FB2" w:rsidP="00A81FB2">
      <w:pPr>
        <w:pStyle w:val="CABNETParagraph"/>
        <w:numPr>
          <w:ilvl w:val="0"/>
          <w:numId w:val="2"/>
        </w:numPr>
        <w:rPr>
          <w:rFonts w:ascii="Times New Roman" w:hAnsi="Times New Roman" w:cs="Times New Roman"/>
          <w:sz w:val="24"/>
          <w:szCs w:val="24"/>
        </w:rPr>
      </w:pPr>
      <w:r w:rsidRPr="000F7CA7">
        <w:rPr>
          <w:rFonts w:ascii="Times New Roman" w:hAnsi="Times New Roman" w:cs="Times New Roman"/>
          <w:sz w:val="24"/>
          <w:szCs w:val="24"/>
        </w:rPr>
        <w:t>The 2016 PMRA CFO survey was condu</w:t>
      </w:r>
      <w:r w:rsidRPr="006D7E8D">
        <w:rPr>
          <w:rFonts w:ascii="Times New Roman" w:hAnsi="Times New Roman" w:cs="Times New Roman"/>
          <w:sz w:val="24"/>
          <w:szCs w:val="24"/>
        </w:rPr>
        <w:t>cted in October</w:t>
      </w:r>
      <w:r w:rsidR="00311332" w:rsidRPr="006D7E8D">
        <w:rPr>
          <w:rFonts w:ascii="Times New Roman" w:hAnsi="Times New Roman" w:cs="Times New Roman"/>
          <w:sz w:val="24"/>
          <w:szCs w:val="24"/>
        </w:rPr>
        <w:t>-November</w:t>
      </w:r>
      <w:r w:rsidRPr="006D7E8D">
        <w:rPr>
          <w:rFonts w:ascii="Times New Roman" w:hAnsi="Times New Roman" w:cs="Times New Roman"/>
          <w:sz w:val="24"/>
          <w:szCs w:val="24"/>
        </w:rPr>
        <w:t xml:space="preserve"> 2016</w:t>
      </w:r>
      <w:r w:rsidR="00311332" w:rsidRPr="006D7E8D">
        <w:rPr>
          <w:rFonts w:ascii="Times New Roman" w:hAnsi="Times New Roman" w:cs="Times New Roman"/>
          <w:sz w:val="24"/>
          <w:szCs w:val="24"/>
        </w:rPr>
        <w:t xml:space="preserve"> by an</w:t>
      </w:r>
      <w:r w:rsidR="006D579F" w:rsidRPr="006D7E8D">
        <w:rPr>
          <w:rFonts w:ascii="Times New Roman" w:hAnsi="Times New Roman" w:cs="Times New Roman"/>
          <w:sz w:val="24"/>
          <w:szCs w:val="24"/>
        </w:rPr>
        <w:t xml:space="preserve"> independent market and social research firm, on behalf of Finance</w:t>
      </w:r>
      <w:r w:rsidRPr="006D7E8D">
        <w:rPr>
          <w:rFonts w:ascii="Times New Roman" w:hAnsi="Times New Roman" w:cs="Times New Roman"/>
          <w:sz w:val="24"/>
          <w:szCs w:val="24"/>
        </w:rPr>
        <w:t>. The survey objectives were to enhance our understanding of the impact of the PGPA Act and to inform the future focus of the PMRA. It also aims to meet Finance’s commitment to the Government and the Committee to survey entities annually in relation to compliance issues with the framework, following the removal of the certificate of compliance process. The survey will also provide information to support the independent statutory review of the PGPA Act and Rule.</w:t>
      </w:r>
    </w:p>
    <w:p w:rsidR="00311332" w:rsidRPr="006D7E8D" w:rsidRDefault="00311332" w:rsidP="00A81FB2">
      <w:pPr>
        <w:pStyle w:val="CABNETParagraph"/>
        <w:numPr>
          <w:ilvl w:val="0"/>
          <w:numId w:val="2"/>
        </w:numPr>
        <w:rPr>
          <w:rFonts w:ascii="Times New Roman" w:hAnsi="Times New Roman" w:cs="Times New Roman"/>
          <w:i/>
          <w:sz w:val="24"/>
          <w:szCs w:val="24"/>
        </w:rPr>
      </w:pPr>
      <w:r w:rsidRPr="006D7E8D">
        <w:rPr>
          <w:rFonts w:ascii="Times New Roman" w:hAnsi="Times New Roman" w:cs="Times New Roman"/>
          <w:sz w:val="24"/>
          <w:szCs w:val="24"/>
        </w:rPr>
        <w:t xml:space="preserve">Responses </w:t>
      </w:r>
      <w:r w:rsidR="006D579F" w:rsidRPr="006D7E8D">
        <w:rPr>
          <w:rFonts w:ascii="Times New Roman" w:hAnsi="Times New Roman" w:cs="Times New Roman"/>
          <w:sz w:val="24"/>
          <w:szCs w:val="24"/>
        </w:rPr>
        <w:t xml:space="preserve">were received from </w:t>
      </w:r>
      <w:r w:rsidRPr="006D7E8D">
        <w:rPr>
          <w:rFonts w:ascii="Times New Roman" w:hAnsi="Times New Roman" w:cs="Times New Roman"/>
          <w:sz w:val="24"/>
          <w:szCs w:val="24"/>
        </w:rPr>
        <w:t>106 entities and the results indicated that:</w:t>
      </w:r>
    </w:p>
    <w:p w:rsidR="00311332" w:rsidRPr="00862121" w:rsidRDefault="00311332" w:rsidP="004E733E">
      <w:pPr>
        <w:pStyle w:val="ListParagraph"/>
        <w:numPr>
          <w:ilvl w:val="0"/>
          <w:numId w:val="42"/>
        </w:numPr>
        <w:ind w:left="709"/>
        <w:rPr>
          <w:rFonts w:ascii="Times New Roman" w:hAnsi="Times New Roman"/>
          <w:sz w:val="24"/>
        </w:rPr>
      </w:pPr>
      <w:r w:rsidRPr="00862121">
        <w:rPr>
          <w:rFonts w:ascii="Times New Roman" w:hAnsi="Times New Roman"/>
          <w:sz w:val="24"/>
        </w:rPr>
        <w:t>CFOs perceive the PGPA framework is easier or substantially easier to understand and</w:t>
      </w:r>
      <w:bookmarkStart w:id="0" w:name="_GoBack"/>
      <w:bookmarkEnd w:id="0"/>
      <w:r w:rsidRPr="00862121">
        <w:rPr>
          <w:rFonts w:ascii="Times New Roman" w:hAnsi="Times New Roman"/>
          <w:sz w:val="24"/>
        </w:rPr>
        <w:t xml:space="preserve"> comply with than FMA/CAC, reported by fifty-one per cent (51%) of respondents in 2016, up from thirty-seven per cent (37%) in 2015</w:t>
      </w:r>
      <w:r w:rsidR="009E5020" w:rsidRPr="00862121">
        <w:rPr>
          <w:rFonts w:ascii="Times New Roman" w:hAnsi="Times New Roman"/>
          <w:sz w:val="24"/>
        </w:rPr>
        <w:t xml:space="preserve">; </w:t>
      </w:r>
    </w:p>
    <w:p w:rsidR="00862121" w:rsidRPr="00862121" w:rsidRDefault="00862121" w:rsidP="007221A8">
      <w:pPr>
        <w:pStyle w:val="ListParagraph"/>
        <w:numPr>
          <w:ilvl w:val="0"/>
          <w:numId w:val="42"/>
        </w:numPr>
        <w:rPr>
          <w:rFonts w:ascii="Times New Roman" w:hAnsi="Times New Roman"/>
          <w:i/>
          <w:sz w:val="28"/>
          <w:szCs w:val="24"/>
        </w:rPr>
      </w:pPr>
      <w:r>
        <w:rPr>
          <w:rFonts w:ascii="Times New Roman" w:hAnsi="Times New Roman"/>
          <w:sz w:val="24"/>
        </w:rPr>
        <w:t>t</w:t>
      </w:r>
      <w:r w:rsidR="00311332" w:rsidRPr="00862121">
        <w:rPr>
          <w:rFonts w:ascii="Times New Roman" w:hAnsi="Times New Roman"/>
          <w:sz w:val="24"/>
        </w:rPr>
        <w:t>he respondents also reported that fifty-six per cent (56%) have streamlined controls in 2016, an improvement on thirty-eight per cent (38%) reported in 2015</w:t>
      </w:r>
      <w:r w:rsidR="009E5020" w:rsidRPr="00862121">
        <w:rPr>
          <w:rFonts w:ascii="Times New Roman" w:hAnsi="Times New Roman"/>
          <w:sz w:val="24"/>
        </w:rPr>
        <w:t>; and</w:t>
      </w:r>
      <w:r w:rsidR="00311332" w:rsidRPr="00862121">
        <w:rPr>
          <w:rFonts w:ascii="Times New Roman" w:hAnsi="Times New Roman"/>
          <w:sz w:val="24"/>
        </w:rPr>
        <w:t xml:space="preserve"> </w:t>
      </w:r>
    </w:p>
    <w:p w:rsidR="00A81FB2" w:rsidRPr="00862121" w:rsidRDefault="00862121" w:rsidP="007221A8">
      <w:pPr>
        <w:pStyle w:val="ListParagraph"/>
        <w:numPr>
          <w:ilvl w:val="0"/>
          <w:numId w:val="42"/>
        </w:numPr>
        <w:rPr>
          <w:rFonts w:ascii="Times New Roman" w:hAnsi="Times New Roman"/>
          <w:i/>
          <w:sz w:val="28"/>
          <w:szCs w:val="24"/>
        </w:rPr>
      </w:pPr>
      <w:r>
        <w:rPr>
          <w:rFonts w:ascii="Times New Roman" w:hAnsi="Times New Roman"/>
          <w:sz w:val="24"/>
        </w:rPr>
        <w:t>e</w:t>
      </w:r>
      <w:r w:rsidR="00311332" w:rsidRPr="00862121">
        <w:rPr>
          <w:rFonts w:ascii="Times New Roman" w:hAnsi="Times New Roman"/>
          <w:sz w:val="24"/>
        </w:rPr>
        <w:t>ntities also reported an improvement in both the culture for managing risk and practice of risk management, and satisfaction in Finance’s support for the enhanced Commonwealth performance framework.</w:t>
      </w:r>
    </w:p>
    <w:p w:rsidR="00A52B1D" w:rsidRPr="009D5E93" w:rsidRDefault="00E46B22" w:rsidP="00A52B1D">
      <w:pPr>
        <w:pStyle w:val="CABNETParagraph"/>
        <w:rPr>
          <w:rFonts w:ascii="Times New Roman" w:hAnsi="Times New Roman" w:cs="Times New Roman"/>
          <w:b/>
          <w:i/>
          <w:sz w:val="24"/>
          <w:szCs w:val="24"/>
        </w:rPr>
      </w:pPr>
      <w:r>
        <w:rPr>
          <w:rFonts w:ascii="Times New Roman" w:hAnsi="Times New Roman" w:cs="Times New Roman"/>
          <w:b/>
          <w:i/>
          <w:sz w:val="24"/>
          <w:szCs w:val="24"/>
        </w:rPr>
        <w:br/>
      </w:r>
      <w:r w:rsidR="00A52B1D" w:rsidRPr="009D5E93">
        <w:rPr>
          <w:rFonts w:ascii="Times New Roman" w:hAnsi="Times New Roman" w:cs="Times New Roman"/>
          <w:b/>
          <w:i/>
          <w:sz w:val="24"/>
          <w:szCs w:val="24"/>
        </w:rPr>
        <w:t xml:space="preserve">New </w:t>
      </w:r>
      <w:r w:rsidR="009D5E93">
        <w:rPr>
          <w:rFonts w:ascii="Times New Roman" w:hAnsi="Times New Roman" w:cs="Times New Roman"/>
          <w:b/>
          <w:i/>
          <w:sz w:val="24"/>
          <w:szCs w:val="24"/>
        </w:rPr>
        <w:t xml:space="preserve">PGPA </w:t>
      </w:r>
      <w:r w:rsidR="00A52B1D" w:rsidRPr="009D5E93">
        <w:rPr>
          <w:rFonts w:ascii="Times New Roman" w:hAnsi="Times New Roman" w:cs="Times New Roman"/>
          <w:b/>
          <w:i/>
          <w:sz w:val="24"/>
          <w:szCs w:val="24"/>
        </w:rPr>
        <w:t>rules</w:t>
      </w:r>
    </w:p>
    <w:p w:rsidR="0074705A" w:rsidRPr="008A1E20" w:rsidRDefault="0074705A" w:rsidP="0074705A">
      <w:pPr>
        <w:pStyle w:val="CABNETParagraph"/>
        <w:numPr>
          <w:ilvl w:val="0"/>
          <w:numId w:val="2"/>
        </w:numPr>
        <w:rPr>
          <w:rFonts w:ascii="Times New Roman" w:hAnsi="Times New Roman" w:cs="Times New Roman"/>
          <w:sz w:val="24"/>
          <w:szCs w:val="24"/>
        </w:rPr>
      </w:pPr>
      <w:r w:rsidRPr="008A1E20">
        <w:rPr>
          <w:rFonts w:ascii="Times New Roman" w:hAnsi="Times New Roman" w:cs="Times New Roman"/>
          <w:sz w:val="24"/>
          <w:szCs w:val="24"/>
        </w:rPr>
        <w:t>Since the start of 2016 the</w:t>
      </w:r>
      <w:r w:rsidRPr="00266E61">
        <w:rPr>
          <w:rFonts w:ascii="Times New Roman" w:hAnsi="Times New Roman"/>
          <w:sz w:val="24"/>
        </w:rPr>
        <w:t xml:space="preserve"> </w:t>
      </w:r>
      <w:r w:rsidRPr="004A068E">
        <w:rPr>
          <w:rFonts w:ascii="Times New Roman" w:hAnsi="Times New Roman" w:cs="Times New Roman"/>
          <w:sz w:val="24"/>
          <w:szCs w:val="24"/>
        </w:rPr>
        <w:t xml:space="preserve">Finance Minister </w:t>
      </w:r>
      <w:r w:rsidRPr="008A1E20">
        <w:rPr>
          <w:rFonts w:ascii="Times New Roman" w:hAnsi="Times New Roman" w:cs="Times New Roman"/>
          <w:sz w:val="24"/>
          <w:szCs w:val="24"/>
        </w:rPr>
        <w:t>has amended</w:t>
      </w:r>
      <w:r>
        <w:rPr>
          <w:rFonts w:ascii="Times New Roman" w:hAnsi="Times New Roman" w:cs="Times New Roman"/>
          <w:sz w:val="24"/>
          <w:szCs w:val="24"/>
        </w:rPr>
        <w:t xml:space="preserve"> the </w:t>
      </w:r>
      <w:r w:rsidRPr="001B6019">
        <w:rPr>
          <w:rFonts w:ascii="Times New Roman" w:hAnsi="Times New Roman" w:cs="Times New Roman"/>
          <w:sz w:val="24"/>
          <w:szCs w:val="24"/>
        </w:rPr>
        <w:t xml:space="preserve">PGPA Rule </w:t>
      </w:r>
      <w:r>
        <w:rPr>
          <w:rFonts w:ascii="Times New Roman" w:hAnsi="Times New Roman" w:cs="Times New Roman"/>
          <w:sz w:val="24"/>
          <w:szCs w:val="24"/>
        </w:rPr>
        <w:t>to</w:t>
      </w:r>
      <w:r w:rsidRPr="008A1E20">
        <w:rPr>
          <w:rFonts w:ascii="Times New Roman" w:hAnsi="Times New Roman" w:cs="Times New Roman"/>
          <w:sz w:val="24"/>
          <w:szCs w:val="24"/>
        </w:rPr>
        <w:t>:</w:t>
      </w:r>
    </w:p>
    <w:p w:rsidR="0074705A" w:rsidRDefault="0074705A" w:rsidP="0074705A">
      <w:pPr>
        <w:pStyle w:val="ListParagraph"/>
        <w:numPr>
          <w:ilvl w:val="0"/>
          <w:numId w:val="39"/>
        </w:numPr>
        <w:rPr>
          <w:rFonts w:ascii="Times New Roman" w:hAnsi="Times New Roman"/>
          <w:sz w:val="24"/>
          <w:szCs w:val="24"/>
          <w:lang w:eastAsia="en-US"/>
        </w:rPr>
      </w:pPr>
      <w:r>
        <w:rPr>
          <w:rFonts w:ascii="Times New Roman" w:hAnsi="Times New Roman"/>
          <w:sz w:val="24"/>
          <w:szCs w:val="24"/>
          <w:lang w:eastAsia="en-US"/>
        </w:rPr>
        <w:t>clarify the banking powers of the Commonwealth Superannuation Corporation (CSC) (April 2016);</w:t>
      </w:r>
    </w:p>
    <w:p w:rsidR="0074705A" w:rsidRDefault="0074705A" w:rsidP="0074705A">
      <w:pPr>
        <w:pStyle w:val="ListParagraph"/>
        <w:numPr>
          <w:ilvl w:val="0"/>
          <w:numId w:val="39"/>
        </w:numPr>
        <w:rPr>
          <w:rFonts w:ascii="Times New Roman" w:hAnsi="Times New Roman"/>
          <w:sz w:val="24"/>
          <w:szCs w:val="24"/>
          <w:lang w:eastAsia="en-US"/>
        </w:rPr>
      </w:pPr>
      <w:r>
        <w:rPr>
          <w:rFonts w:ascii="Times New Roman" w:hAnsi="Times New Roman"/>
          <w:sz w:val="24"/>
          <w:szCs w:val="24"/>
          <w:lang w:eastAsia="en-US"/>
        </w:rPr>
        <w:t>prescribe annual reporting requirements for Commonwealth companies (May 2016);</w:t>
      </w:r>
    </w:p>
    <w:p w:rsidR="0074705A" w:rsidRDefault="0074705A" w:rsidP="0074705A">
      <w:pPr>
        <w:pStyle w:val="ListParagraph"/>
        <w:numPr>
          <w:ilvl w:val="0"/>
          <w:numId w:val="39"/>
        </w:numPr>
        <w:rPr>
          <w:rFonts w:ascii="Times New Roman" w:hAnsi="Times New Roman"/>
          <w:sz w:val="24"/>
          <w:szCs w:val="24"/>
          <w:lang w:eastAsia="en-US"/>
        </w:rPr>
      </w:pPr>
      <w:r>
        <w:rPr>
          <w:rFonts w:ascii="Times New Roman" w:hAnsi="Times New Roman"/>
          <w:sz w:val="24"/>
          <w:szCs w:val="24"/>
          <w:lang w:eastAsia="en-US"/>
        </w:rPr>
        <w:t xml:space="preserve">remove Old Parliament House as a listed non corporate Commonwealth entity </w:t>
      </w:r>
      <w:r w:rsidR="00862121">
        <w:rPr>
          <w:rFonts w:ascii="Times New Roman" w:hAnsi="Times New Roman"/>
          <w:sz w:val="24"/>
          <w:szCs w:val="24"/>
          <w:lang w:eastAsia="en-US"/>
        </w:rPr>
        <w:br/>
      </w:r>
      <w:r>
        <w:rPr>
          <w:rFonts w:ascii="Times New Roman" w:hAnsi="Times New Roman"/>
          <w:sz w:val="24"/>
          <w:szCs w:val="24"/>
          <w:lang w:eastAsia="en-US"/>
        </w:rPr>
        <w:t>(July 2016);</w:t>
      </w:r>
    </w:p>
    <w:p w:rsidR="0074705A" w:rsidRDefault="00862121" w:rsidP="0074705A">
      <w:pPr>
        <w:pStyle w:val="ListParagraph"/>
        <w:numPr>
          <w:ilvl w:val="0"/>
          <w:numId w:val="39"/>
        </w:numPr>
        <w:rPr>
          <w:rFonts w:ascii="Times New Roman" w:hAnsi="Times New Roman"/>
          <w:sz w:val="24"/>
          <w:szCs w:val="24"/>
          <w:lang w:eastAsia="en-US"/>
        </w:rPr>
      </w:pPr>
      <w:r>
        <w:rPr>
          <w:rFonts w:ascii="Times New Roman" w:hAnsi="Times New Roman"/>
          <w:sz w:val="24"/>
          <w:szCs w:val="24"/>
          <w:lang w:eastAsia="en-US"/>
        </w:rPr>
        <w:t xml:space="preserve">amend </w:t>
      </w:r>
      <w:r w:rsidR="0074705A">
        <w:rPr>
          <w:rFonts w:ascii="Times New Roman" w:hAnsi="Times New Roman"/>
          <w:sz w:val="24"/>
          <w:szCs w:val="24"/>
          <w:lang w:eastAsia="en-US"/>
        </w:rPr>
        <w:t>the listed entity</w:t>
      </w:r>
      <w:r>
        <w:rPr>
          <w:rFonts w:ascii="Times New Roman" w:hAnsi="Times New Roman"/>
          <w:sz w:val="24"/>
          <w:szCs w:val="24"/>
          <w:lang w:eastAsia="en-US"/>
        </w:rPr>
        <w:t>,</w:t>
      </w:r>
      <w:r w:rsidR="0074705A">
        <w:rPr>
          <w:rFonts w:ascii="Times New Roman" w:hAnsi="Times New Roman"/>
          <w:sz w:val="24"/>
          <w:szCs w:val="24"/>
          <w:lang w:eastAsia="en-US"/>
        </w:rPr>
        <w:t xml:space="preserve"> the Digital Transformation Office changing to the Digital Transformation</w:t>
      </w:r>
      <w:r w:rsidR="0074705A" w:rsidRPr="00D5480D">
        <w:rPr>
          <w:rFonts w:ascii="Times New Roman" w:hAnsi="Times New Roman"/>
          <w:sz w:val="24"/>
          <w:szCs w:val="24"/>
          <w:lang w:eastAsia="en-US"/>
        </w:rPr>
        <w:t xml:space="preserve"> </w:t>
      </w:r>
      <w:r w:rsidR="0074705A">
        <w:rPr>
          <w:rFonts w:ascii="Times New Roman" w:hAnsi="Times New Roman"/>
          <w:sz w:val="24"/>
          <w:szCs w:val="24"/>
          <w:lang w:eastAsia="en-US"/>
        </w:rPr>
        <w:t>Agency (December 2016);</w:t>
      </w:r>
    </w:p>
    <w:p w:rsidR="0074705A" w:rsidRDefault="00862121" w:rsidP="0074705A">
      <w:pPr>
        <w:pStyle w:val="ListParagraph"/>
        <w:numPr>
          <w:ilvl w:val="0"/>
          <w:numId w:val="39"/>
        </w:numPr>
        <w:rPr>
          <w:rFonts w:ascii="Times New Roman" w:hAnsi="Times New Roman"/>
          <w:sz w:val="24"/>
          <w:szCs w:val="24"/>
          <w:lang w:eastAsia="en-US"/>
        </w:rPr>
      </w:pPr>
      <w:r>
        <w:rPr>
          <w:rFonts w:ascii="Times New Roman" w:hAnsi="Times New Roman"/>
          <w:sz w:val="24"/>
          <w:szCs w:val="24"/>
          <w:lang w:eastAsia="en-US"/>
        </w:rPr>
        <w:t>amend</w:t>
      </w:r>
      <w:r w:rsidR="0074705A">
        <w:rPr>
          <w:rFonts w:ascii="Times New Roman" w:hAnsi="Times New Roman"/>
          <w:sz w:val="24"/>
          <w:szCs w:val="24"/>
          <w:lang w:eastAsia="en-US"/>
        </w:rPr>
        <w:t xml:space="preserve"> the listed entity</w:t>
      </w:r>
      <w:r>
        <w:rPr>
          <w:rFonts w:ascii="Times New Roman" w:hAnsi="Times New Roman"/>
          <w:sz w:val="24"/>
          <w:szCs w:val="24"/>
          <w:lang w:eastAsia="en-US"/>
        </w:rPr>
        <w:t xml:space="preserve">, the </w:t>
      </w:r>
      <w:r w:rsidR="0074705A" w:rsidRPr="00D5480D">
        <w:rPr>
          <w:rFonts w:ascii="Times New Roman" w:hAnsi="Times New Roman"/>
          <w:sz w:val="24"/>
          <w:szCs w:val="24"/>
          <w:lang w:eastAsia="en-US"/>
        </w:rPr>
        <w:t>Office of the Fair Work Building Industry Inspectorate</w:t>
      </w:r>
      <w:r w:rsidR="0074705A">
        <w:rPr>
          <w:rFonts w:ascii="Times New Roman" w:hAnsi="Times New Roman"/>
          <w:sz w:val="24"/>
          <w:szCs w:val="24"/>
          <w:lang w:eastAsia="en-US"/>
        </w:rPr>
        <w:t xml:space="preserve"> changing to the </w:t>
      </w:r>
      <w:r w:rsidR="0074705A" w:rsidRPr="00DA16C4">
        <w:rPr>
          <w:rFonts w:ascii="Times New Roman" w:hAnsi="Times New Roman"/>
          <w:sz w:val="24"/>
          <w:szCs w:val="24"/>
          <w:lang w:eastAsia="en-US"/>
        </w:rPr>
        <w:t xml:space="preserve">Australian Building and Construction Commission </w:t>
      </w:r>
      <w:r w:rsidR="0074705A">
        <w:rPr>
          <w:rFonts w:ascii="Times New Roman" w:hAnsi="Times New Roman"/>
          <w:sz w:val="24"/>
          <w:szCs w:val="24"/>
          <w:lang w:eastAsia="en-US"/>
        </w:rPr>
        <w:t>(March 2017); a</w:t>
      </w:r>
      <w:r w:rsidR="0074705A" w:rsidRPr="00DA16C4">
        <w:rPr>
          <w:rFonts w:ascii="Times New Roman" w:hAnsi="Times New Roman"/>
          <w:sz w:val="24"/>
          <w:szCs w:val="24"/>
          <w:lang w:eastAsia="en-US"/>
        </w:rPr>
        <w:t xml:space="preserve">nd </w:t>
      </w:r>
    </w:p>
    <w:p w:rsidR="0074705A" w:rsidRPr="00D0236F" w:rsidRDefault="0074705A" w:rsidP="0074705A">
      <w:pPr>
        <w:pStyle w:val="ListParagraph"/>
        <w:numPr>
          <w:ilvl w:val="0"/>
          <w:numId w:val="39"/>
        </w:numPr>
        <w:rPr>
          <w:rFonts w:ascii="Times New Roman" w:hAnsi="Times New Roman"/>
          <w:sz w:val="24"/>
          <w:szCs w:val="24"/>
          <w:lang w:eastAsia="en-US"/>
        </w:rPr>
      </w:pPr>
      <w:r>
        <w:rPr>
          <w:rFonts w:ascii="Times New Roman" w:hAnsi="Times New Roman"/>
          <w:sz w:val="24"/>
          <w:szCs w:val="24"/>
          <w:lang w:eastAsia="en-US"/>
        </w:rPr>
        <w:t xml:space="preserve">list the executive agency, the </w:t>
      </w:r>
      <w:r w:rsidRPr="00DA16C4">
        <w:rPr>
          <w:rFonts w:ascii="Times New Roman" w:hAnsi="Times New Roman"/>
          <w:sz w:val="24"/>
          <w:szCs w:val="24"/>
          <w:lang w:eastAsia="en-US"/>
        </w:rPr>
        <w:t>Independent Parliamentary Expenses Authority</w:t>
      </w:r>
      <w:r>
        <w:rPr>
          <w:rFonts w:ascii="Times New Roman" w:hAnsi="Times New Roman"/>
          <w:sz w:val="24"/>
          <w:szCs w:val="24"/>
          <w:lang w:eastAsia="en-US"/>
        </w:rPr>
        <w:t>, as a non-</w:t>
      </w:r>
      <w:r w:rsidRPr="00D0236F">
        <w:rPr>
          <w:rFonts w:ascii="Times New Roman" w:hAnsi="Times New Roman"/>
          <w:sz w:val="24"/>
          <w:szCs w:val="24"/>
          <w:lang w:eastAsia="en-US"/>
        </w:rPr>
        <w:t>corporate Commonwealth entity (April 2017).</w:t>
      </w:r>
    </w:p>
    <w:p w:rsidR="0074705A" w:rsidRPr="00D0236F" w:rsidRDefault="0074705A" w:rsidP="0074705A">
      <w:pPr>
        <w:pStyle w:val="CABNETParagraph"/>
        <w:numPr>
          <w:ilvl w:val="0"/>
          <w:numId w:val="2"/>
        </w:numPr>
        <w:rPr>
          <w:rFonts w:ascii="Times New Roman" w:hAnsi="Times New Roman" w:cs="Times New Roman"/>
          <w:sz w:val="24"/>
          <w:szCs w:val="24"/>
        </w:rPr>
      </w:pPr>
      <w:r w:rsidRPr="00D0236F">
        <w:rPr>
          <w:rFonts w:ascii="Times New Roman" w:hAnsi="Times New Roman" w:cs="Times New Roman"/>
          <w:sz w:val="24"/>
          <w:szCs w:val="24"/>
        </w:rPr>
        <w:t>In addition to amendments to the PGPA Rule, the Finance Minister also made several other rules under the PGPA Act:</w:t>
      </w:r>
    </w:p>
    <w:p w:rsidR="0074705A" w:rsidRPr="00D0236F" w:rsidRDefault="0074705A" w:rsidP="0074705A">
      <w:pPr>
        <w:pStyle w:val="CABNETParagraph"/>
        <w:numPr>
          <w:ilvl w:val="0"/>
          <w:numId w:val="38"/>
        </w:numPr>
        <w:rPr>
          <w:rFonts w:ascii="Times New Roman" w:hAnsi="Times New Roman" w:cs="Times New Roman"/>
          <w:sz w:val="24"/>
          <w:szCs w:val="24"/>
        </w:rPr>
      </w:pPr>
      <w:r>
        <w:rPr>
          <w:rFonts w:ascii="Times New Roman" w:hAnsi="Times New Roman" w:cs="Times New Roman"/>
          <w:sz w:val="24"/>
          <w:szCs w:val="24"/>
        </w:rPr>
        <w:t>r</w:t>
      </w:r>
      <w:r w:rsidRPr="00D0236F">
        <w:rPr>
          <w:rFonts w:ascii="Times New Roman" w:hAnsi="Times New Roman" w:cs="Times New Roman"/>
          <w:sz w:val="24"/>
          <w:szCs w:val="24"/>
        </w:rPr>
        <w:t>ules</w:t>
      </w:r>
      <w:r w:rsidRPr="004A068E">
        <w:rPr>
          <w:rFonts w:ascii="Times New Roman" w:hAnsi="Times New Roman" w:cs="Times New Roman"/>
          <w:sz w:val="24"/>
          <w:szCs w:val="24"/>
        </w:rPr>
        <w:t xml:space="preserve"> </w:t>
      </w:r>
      <w:r>
        <w:rPr>
          <w:rFonts w:ascii="Times New Roman" w:hAnsi="Times New Roman" w:cs="Times New Roman"/>
          <w:sz w:val="24"/>
          <w:szCs w:val="24"/>
        </w:rPr>
        <w:t>to e</w:t>
      </w:r>
      <w:r w:rsidRPr="004A068E">
        <w:rPr>
          <w:rFonts w:ascii="Times New Roman" w:hAnsi="Times New Roman" w:cs="Times New Roman"/>
          <w:sz w:val="24"/>
          <w:szCs w:val="24"/>
        </w:rPr>
        <w:t>stablish</w:t>
      </w:r>
      <w:r w:rsidRPr="00D0236F">
        <w:rPr>
          <w:rFonts w:ascii="Times New Roman" w:hAnsi="Times New Roman" w:cs="Times New Roman"/>
          <w:sz w:val="24"/>
          <w:szCs w:val="24"/>
        </w:rPr>
        <w:t xml:space="preserve"> two</w:t>
      </w:r>
      <w:r w:rsidRPr="004A068E">
        <w:rPr>
          <w:rFonts w:ascii="Times New Roman" w:hAnsi="Times New Roman" w:cs="Times New Roman"/>
          <w:sz w:val="24"/>
          <w:szCs w:val="24"/>
        </w:rPr>
        <w:t xml:space="preserve"> new </w:t>
      </w:r>
      <w:r>
        <w:rPr>
          <w:rFonts w:ascii="Times New Roman" w:hAnsi="Times New Roman" w:cs="Times New Roman"/>
          <w:sz w:val="24"/>
          <w:szCs w:val="24"/>
        </w:rPr>
        <w:t>c</w:t>
      </w:r>
      <w:r w:rsidRPr="004A068E">
        <w:rPr>
          <w:rFonts w:ascii="Times New Roman" w:hAnsi="Times New Roman" w:cs="Times New Roman"/>
          <w:sz w:val="24"/>
          <w:szCs w:val="24"/>
        </w:rPr>
        <w:t xml:space="preserve">orporate Commonwealth </w:t>
      </w:r>
      <w:r>
        <w:rPr>
          <w:rFonts w:ascii="Times New Roman" w:hAnsi="Times New Roman" w:cs="Times New Roman"/>
          <w:sz w:val="24"/>
          <w:szCs w:val="24"/>
        </w:rPr>
        <w:t>e</w:t>
      </w:r>
      <w:r w:rsidRPr="004A068E">
        <w:rPr>
          <w:rFonts w:ascii="Times New Roman" w:hAnsi="Times New Roman" w:cs="Times New Roman"/>
          <w:sz w:val="24"/>
          <w:szCs w:val="24"/>
        </w:rPr>
        <w:t>ntities</w:t>
      </w:r>
      <w:r>
        <w:rPr>
          <w:rFonts w:ascii="Times New Roman" w:hAnsi="Times New Roman" w:cs="Times New Roman"/>
          <w:sz w:val="24"/>
          <w:szCs w:val="24"/>
        </w:rPr>
        <w:t xml:space="preserve"> </w:t>
      </w:r>
      <w:r w:rsidRPr="004A068E">
        <w:rPr>
          <w:rFonts w:ascii="Times New Roman" w:hAnsi="Times New Roman" w:cs="Times New Roman"/>
          <w:sz w:val="24"/>
          <w:szCs w:val="24"/>
        </w:rPr>
        <w:t xml:space="preserve">under </w:t>
      </w:r>
      <w:r>
        <w:rPr>
          <w:rFonts w:ascii="Times New Roman" w:hAnsi="Times New Roman" w:cs="Times New Roman"/>
          <w:sz w:val="24"/>
          <w:szCs w:val="24"/>
        </w:rPr>
        <w:t>s</w:t>
      </w:r>
      <w:r w:rsidRPr="004A068E">
        <w:rPr>
          <w:rFonts w:ascii="Times New Roman" w:hAnsi="Times New Roman" w:cs="Times New Roman"/>
          <w:sz w:val="24"/>
          <w:szCs w:val="24"/>
        </w:rPr>
        <w:t>ection 87 of the PGPA Act</w:t>
      </w:r>
      <w:r w:rsidRPr="00D0236F">
        <w:rPr>
          <w:rFonts w:ascii="Times New Roman" w:hAnsi="Times New Roman" w:cs="Times New Roman"/>
          <w:sz w:val="24"/>
          <w:szCs w:val="24"/>
        </w:rPr>
        <w:t>:</w:t>
      </w:r>
    </w:p>
    <w:p w:rsidR="0074705A" w:rsidRPr="0074705A" w:rsidRDefault="0074705A" w:rsidP="0074705A">
      <w:pPr>
        <w:pStyle w:val="CABNETParagraph"/>
        <w:numPr>
          <w:ilvl w:val="1"/>
          <w:numId w:val="38"/>
        </w:numPr>
        <w:rPr>
          <w:rFonts w:ascii="Times New Roman" w:hAnsi="Times New Roman" w:cs="Times New Roman"/>
          <w:sz w:val="24"/>
          <w:szCs w:val="24"/>
        </w:rPr>
      </w:pPr>
      <w:r w:rsidRPr="0074705A">
        <w:rPr>
          <w:rFonts w:ascii="Times New Roman" w:hAnsi="Times New Roman" w:cs="Times New Roman"/>
          <w:sz w:val="24"/>
          <w:szCs w:val="24"/>
        </w:rPr>
        <w:t xml:space="preserve">the </w:t>
      </w:r>
      <w:hyperlink r:id="rId10" w:history="1">
        <w:r w:rsidRPr="0074705A">
          <w:rPr>
            <w:rStyle w:val="Hyperlink"/>
            <w:rFonts w:ascii="Times New Roman" w:hAnsi="Times New Roman" w:cs="Times New Roman"/>
            <w:i/>
            <w:sz w:val="24"/>
            <w:szCs w:val="24"/>
          </w:rPr>
          <w:t>PGPA (Establishing the Australian Digital Health Agency) Rule 2016</w:t>
        </w:r>
      </w:hyperlink>
      <w:r w:rsidRPr="0074705A">
        <w:rPr>
          <w:rFonts w:ascii="Times New Roman" w:hAnsi="Times New Roman" w:cs="Times New Roman"/>
          <w:sz w:val="24"/>
          <w:szCs w:val="24"/>
        </w:rPr>
        <w:t xml:space="preserve"> to establish the Australian Digital Health Agency (January 2016)</w:t>
      </w:r>
      <w:r>
        <w:rPr>
          <w:rFonts w:ascii="Times New Roman" w:hAnsi="Times New Roman" w:cs="Times New Roman"/>
          <w:sz w:val="24"/>
          <w:szCs w:val="24"/>
        </w:rPr>
        <w:t>; and</w:t>
      </w:r>
    </w:p>
    <w:p w:rsidR="0074705A" w:rsidRPr="0074705A" w:rsidRDefault="0074705A" w:rsidP="0074705A">
      <w:pPr>
        <w:pStyle w:val="CABNETParagraph"/>
        <w:numPr>
          <w:ilvl w:val="1"/>
          <w:numId w:val="38"/>
        </w:numPr>
        <w:rPr>
          <w:rFonts w:ascii="Times New Roman" w:hAnsi="Times New Roman" w:cs="Times New Roman"/>
          <w:sz w:val="24"/>
          <w:szCs w:val="24"/>
        </w:rPr>
      </w:pPr>
      <w:r w:rsidRPr="0074705A">
        <w:rPr>
          <w:rFonts w:ascii="Times New Roman" w:hAnsi="Times New Roman" w:cs="Times New Roman"/>
          <w:sz w:val="24"/>
          <w:szCs w:val="24"/>
        </w:rPr>
        <w:t xml:space="preserve">the </w:t>
      </w:r>
      <w:hyperlink r:id="rId11" w:history="1">
        <w:r w:rsidRPr="0074705A">
          <w:rPr>
            <w:rStyle w:val="Hyperlink"/>
            <w:rFonts w:ascii="Times New Roman" w:hAnsi="Times New Roman" w:cs="Times New Roman"/>
            <w:i/>
            <w:sz w:val="24"/>
            <w:szCs w:val="24"/>
          </w:rPr>
          <w:t>PGPA (Establishing Old Parliament House) Rule 2016</w:t>
        </w:r>
      </w:hyperlink>
      <w:r w:rsidRPr="0074705A">
        <w:rPr>
          <w:rFonts w:ascii="Times New Roman" w:hAnsi="Times New Roman" w:cs="Times New Roman"/>
          <w:sz w:val="24"/>
          <w:szCs w:val="24"/>
        </w:rPr>
        <w:t xml:space="preserve">, to change Old Parliament House to a corporate Commonwealth entity (July 2016). </w:t>
      </w:r>
    </w:p>
    <w:p w:rsidR="0074705A" w:rsidRPr="0074705A" w:rsidRDefault="0074705A" w:rsidP="0074705A">
      <w:pPr>
        <w:pStyle w:val="CABNETParagraph"/>
        <w:numPr>
          <w:ilvl w:val="0"/>
          <w:numId w:val="38"/>
        </w:numPr>
        <w:rPr>
          <w:rFonts w:ascii="Times New Roman" w:hAnsi="Times New Roman" w:cs="Times New Roman"/>
          <w:sz w:val="24"/>
          <w:szCs w:val="24"/>
        </w:rPr>
      </w:pPr>
      <w:r w:rsidRPr="0074705A">
        <w:rPr>
          <w:rFonts w:ascii="Times New Roman" w:hAnsi="Times New Roman" w:cs="Times New Roman"/>
          <w:sz w:val="24"/>
          <w:szCs w:val="24"/>
        </w:rPr>
        <w:t xml:space="preserve">the </w:t>
      </w:r>
      <w:hyperlink r:id="rId12" w:history="1">
        <w:r w:rsidRPr="0074705A">
          <w:rPr>
            <w:rStyle w:val="Hyperlink"/>
            <w:rFonts w:ascii="Times New Roman" w:hAnsi="Times New Roman" w:cs="Times New Roman"/>
            <w:i/>
          </w:rPr>
          <w:t>PGPA (Relevant Company) Rule 2016</w:t>
        </w:r>
      </w:hyperlink>
      <w:r w:rsidRPr="0074705A">
        <w:rPr>
          <w:rFonts w:ascii="Times New Roman" w:hAnsi="Times New Roman" w:cs="Times New Roman"/>
          <w:sz w:val="24"/>
          <w:szCs w:val="24"/>
        </w:rPr>
        <w:t xml:space="preserve"> to establish legislative authority for the purposes of section 85 of the PGPA Act for the Commonwealth to form, or participate in the forming of certain prescribed companies (October 2016). </w:t>
      </w:r>
    </w:p>
    <w:p w:rsidR="004A068E" w:rsidRPr="009D5E93" w:rsidRDefault="00E46B22" w:rsidP="004A068E">
      <w:pPr>
        <w:pStyle w:val="CABNETParagraph"/>
        <w:rPr>
          <w:rFonts w:ascii="Times New Roman" w:hAnsi="Times New Roman" w:cs="Times New Roman"/>
          <w:b/>
          <w:i/>
          <w:sz w:val="24"/>
          <w:szCs w:val="24"/>
        </w:rPr>
      </w:pPr>
      <w:r>
        <w:rPr>
          <w:rFonts w:ascii="Times New Roman" w:hAnsi="Times New Roman" w:cs="Times New Roman"/>
          <w:b/>
          <w:i/>
          <w:sz w:val="24"/>
          <w:szCs w:val="24"/>
        </w:rPr>
        <w:br/>
      </w:r>
      <w:r w:rsidR="004A068E" w:rsidRPr="009D5E93">
        <w:rPr>
          <w:rFonts w:ascii="Times New Roman" w:hAnsi="Times New Roman" w:cs="Times New Roman"/>
          <w:b/>
          <w:i/>
          <w:sz w:val="24"/>
          <w:szCs w:val="24"/>
        </w:rPr>
        <w:t>Guidance material</w:t>
      </w:r>
    </w:p>
    <w:p w:rsidR="004A068E" w:rsidRPr="0074705A" w:rsidRDefault="004A068E" w:rsidP="004A068E">
      <w:pPr>
        <w:pStyle w:val="CABNE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are </w:t>
      </w:r>
      <w:r w:rsidR="00EC2457">
        <w:rPr>
          <w:rFonts w:ascii="Times New Roman" w:hAnsi="Times New Roman" w:cs="Times New Roman"/>
          <w:sz w:val="24"/>
          <w:szCs w:val="24"/>
        </w:rPr>
        <w:t>continuing to update and improve resource management</w:t>
      </w:r>
      <w:r>
        <w:rPr>
          <w:rFonts w:ascii="Times New Roman" w:hAnsi="Times New Roman" w:cs="Times New Roman"/>
          <w:sz w:val="24"/>
          <w:szCs w:val="24"/>
        </w:rPr>
        <w:t xml:space="preserve"> g</w:t>
      </w:r>
      <w:r w:rsidRPr="004916BD">
        <w:rPr>
          <w:rFonts w:ascii="Times New Roman" w:hAnsi="Times New Roman" w:cs="Times New Roman"/>
          <w:sz w:val="24"/>
          <w:szCs w:val="24"/>
        </w:rPr>
        <w:t>uidance material to support officials discharg</w:t>
      </w:r>
      <w:r w:rsidR="00394B25">
        <w:rPr>
          <w:rFonts w:ascii="Times New Roman" w:hAnsi="Times New Roman" w:cs="Times New Roman"/>
          <w:sz w:val="24"/>
          <w:szCs w:val="24"/>
        </w:rPr>
        <w:t>ing</w:t>
      </w:r>
      <w:r w:rsidRPr="004916BD">
        <w:rPr>
          <w:rFonts w:ascii="Times New Roman" w:hAnsi="Times New Roman" w:cs="Times New Roman"/>
          <w:sz w:val="24"/>
          <w:szCs w:val="24"/>
        </w:rPr>
        <w:t xml:space="preserve"> their duties and other obligations under the PGPA Act. In 2014</w:t>
      </w:r>
      <w:r w:rsidR="00394B25">
        <w:rPr>
          <w:rFonts w:ascii="Times New Roman" w:hAnsi="Times New Roman" w:cs="Times New Roman"/>
          <w:sz w:val="24"/>
          <w:szCs w:val="24"/>
        </w:rPr>
        <w:t>,</w:t>
      </w:r>
      <w:r w:rsidRPr="004916BD">
        <w:rPr>
          <w:rFonts w:ascii="Times New Roman" w:hAnsi="Times New Roman" w:cs="Times New Roman"/>
          <w:sz w:val="24"/>
          <w:szCs w:val="24"/>
        </w:rPr>
        <w:t xml:space="preserve"> Finance issued a comprehensive set of resource management guidance on the Finance website -</w:t>
      </w:r>
      <w:r w:rsidRPr="004916BD">
        <w:rPr>
          <w:rFonts w:ascii="Times New Roman" w:hAnsi="Times New Roman" w:cs="Times New Roman"/>
          <w:color w:val="1F497D"/>
          <w:sz w:val="24"/>
          <w:szCs w:val="24"/>
        </w:rPr>
        <w:t xml:space="preserve"> </w:t>
      </w:r>
      <w:hyperlink r:id="rId13" w:history="1">
        <w:r w:rsidRPr="004916BD">
          <w:rPr>
            <w:rStyle w:val="Hyperlink"/>
            <w:rFonts w:ascii="Times New Roman" w:hAnsi="Times New Roman" w:cs="Times New Roman"/>
            <w:sz w:val="24"/>
            <w:szCs w:val="24"/>
          </w:rPr>
          <w:t>www.finance.gov.au/resource-management/</w:t>
        </w:r>
      </w:hyperlink>
      <w:r w:rsidRPr="004916BD">
        <w:rPr>
          <w:rFonts w:ascii="Times New Roman" w:hAnsi="Times New Roman" w:cs="Times New Roman"/>
          <w:color w:val="1F497D"/>
          <w:sz w:val="24"/>
          <w:szCs w:val="24"/>
        </w:rPr>
        <w:t xml:space="preserve">. </w:t>
      </w:r>
      <w:r w:rsidRPr="004916BD">
        <w:rPr>
          <w:rFonts w:ascii="Times New Roman" w:hAnsi="Times New Roman" w:cs="Times New Roman"/>
          <w:sz w:val="24"/>
          <w:szCs w:val="24"/>
        </w:rPr>
        <w:t>A</w:t>
      </w:r>
      <w:r w:rsidR="00394B25">
        <w:rPr>
          <w:rFonts w:ascii="Times New Roman" w:hAnsi="Times New Roman" w:cs="Times New Roman"/>
          <w:sz w:val="24"/>
          <w:szCs w:val="24"/>
        </w:rPr>
        <w:t> </w:t>
      </w:r>
      <w:r w:rsidRPr="004916BD">
        <w:rPr>
          <w:rFonts w:ascii="Times New Roman" w:hAnsi="Times New Roman" w:cs="Times New Roman"/>
          <w:sz w:val="24"/>
          <w:szCs w:val="24"/>
        </w:rPr>
        <w:t xml:space="preserve">series of </w:t>
      </w:r>
      <w:hyperlink r:id="rId14" w:history="1">
        <w:r w:rsidRPr="004916BD">
          <w:rPr>
            <w:rStyle w:val="Hyperlink"/>
            <w:rFonts w:ascii="Times New Roman" w:hAnsi="Times New Roman" w:cs="Times New Roman"/>
            <w:sz w:val="24"/>
            <w:szCs w:val="24"/>
          </w:rPr>
          <w:t>eLearning modules, brochures, posters and videos</w:t>
        </w:r>
      </w:hyperlink>
      <w:r w:rsidRPr="004916BD">
        <w:rPr>
          <w:rFonts w:ascii="Times New Roman" w:hAnsi="Times New Roman" w:cs="Times New Roman"/>
          <w:color w:val="1F497D"/>
          <w:sz w:val="24"/>
          <w:szCs w:val="24"/>
        </w:rPr>
        <w:t xml:space="preserve"> </w:t>
      </w:r>
      <w:r w:rsidRPr="004916BD">
        <w:rPr>
          <w:rFonts w:ascii="Times New Roman" w:hAnsi="Times New Roman" w:cs="Times New Roman"/>
          <w:sz w:val="24"/>
          <w:szCs w:val="24"/>
        </w:rPr>
        <w:t xml:space="preserve">were also published to </w:t>
      </w:r>
      <w:r w:rsidR="00394B25">
        <w:rPr>
          <w:rFonts w:ascii="Times New Roman" w:hAnsi="Times New Roman" w:cs="Times New Roman"/>
          <w:sz w:val="24"/>
          <w:szCs w:val="24"/>
        </w:rPr>
        <w:t>help</w:t>
      </w:r>
      <w:r w:rsidRPr="004916BD">
        <w:rPr>
          <w:rFonts w:ascii="Times New Roman" w:hAnsi="Times New Roman" w:cs="Times New Roman"/>
          <w:sz w:val="24"/>
          <w:szCs w:val="24"/>
        </w:rPr>
        <w:t xml:space="preserve"> officials understand their duties and responsibilities under the PGPA Act. In 2015</w:t>
      </w:r>
      <w:r w:rsidR="00394B25">
        <w:rPr>
          <w:rFonts w:ascii="Times New Roman" w:hAnsi="Times New Roman" w:cs="Times New Roman"/>
          <w:sz w:val="24"/>
          <w:szCs w:val="24"/>
        </w:rPr>
        <w:t>,</w:t>
      </w:r>
      <w:r w:rsidRPr="004916BD">
        <w:rPr>
          <w:rFonts w:ascii="Times New Roman" w:hAnsi="Times New Roman" w:cs="Times New Roman"/>
          <w:sz w:val="24"/>
          <w:szCs w:val="24"/>
        </w:rPr>
        <w:t xml:space="preserve"> Finance developed the</w:t>
      </w:r>
      <w:r w:rsidRPr="004916BD">
        <w:rPr>
          <w:rFonts w:ascii="Times New Roman" w:hAnsi="Times New Roman" w:cs="Times New Roman"/>
          <w:color w:val="1F497D"/>
          <w:sz w:val="24"/>
          <w:szCs w:val="24"/>
        </w:rPr>
        <w:t xml:space="preserve"> </w:t>
      </w:r>
      <w:hyperlink r:id="rId15" w:history="1">
        <w:r w:rsidRPr="004916BD">
          <w:rPr>
            <w:rStyle w:val="Hyperlink"/>
            <w:rFonts w:ascii="Times New Roman" w:hAnsi="Times New Roman" w:cs="Times New Roman"/>
            <w:sz w:val="24"/>
            <w:szCs w:val="24"/>
          </w:rPr>
          <w:t>online PGPA Act</w:t>
        </w:r>
      </w:hyperlink>
      <w:r w:rsidRPr="004916BD">
        <w:rPr>
          <w:rFonts w:ascii="Times New Roman" w:hAnsi="Times New Roman" w:cs="Times New Roman"/>
          <w:color w:val="1F497D"/>
          <w:sz w:val="24"/>
          <w:szCs w:val="24"/>
        </w:rPr>
        <w:t xml:space="preserve">, </w:t>
      </w:r>
      <w:hyperlink r:id="rId16" w:history="1">
        <w:r w:rsidRPr="004916BD">
          <w:rPr>
            <w:rStyle w:val="Hyperlink"/>
            <w:rFonts w:ascii="Times New Roman" w:hAnsi="Times New Roman" w:cs="Times New Roman"/>
            <w:sz w:val="24"/>
            <w:szCs w:val="24"/>
          </w:rPr>
          <w:t>online PGPA Rule</w:t>
        </w:r>
      </w:hyperlink>
      <w:r w:rsidRPr="004916BD">
        <w:rPr>
          <w:rFonts w:ascii="Times New Roman" w:hAnsi="Times New Roman" w:cs="Times New Roman"/>
          <w:color w:val="1F497D"/>
          <w:sz w:val="24"/>
          <w:szCs w:val="24"/>
        </w:rPr>
        <w:t xml:space="preserve"> </w:t>
      </w:r>
      <w:r w:rsidRPr="004916BD">
        <w:rPr>
          <w:rFonts w:ascii="Times New Roman" w:hAnsi="Times New Roman" w:cs="Times New Roman"/>
          <w:sz w:val="24"/>
          <w:szCs w:val="24"/>
        </w:rPr>
        <w:t>and</w:t>
      </w:r>
      <w:r w:rsidRPr="004916BD">
        <w:rPr>
          <w:rFonts w:ascii="Times New Roman" w:hAnsi="Times New Roman" w:cs="Times New Roman"/>
          <w:color w:val="1F497D"/>
          <w:sz w:val="24"/>
          <w:szCs w:val="24"/>
        </w:rPr>
        <w:t xml:space="preserve"> </w:t>
      </w:r>
      <w:hyperlink r:id="rId17" w:history="1">
        <w:r w:rsidRPr="004916BD">
          <w:rPr>
            <w:rStyle w:val="Hyperlink"/>
            <w:rFonts w:ascii="Times New Roman" w:hAnsi="Times New Roman" w:cs="Times New Roman"/>
            <w:sz w:val="24"/>
            <w:szCs w:val="24"/>
          </w:rPr>
          <w:t>Resource Management Glossary</w:t>
        </w:r>
      </w:hyperlink>
      <w:r w:rsidRPr="004916BD">
        <w:rPr>
          <w:rFonts w:ascii="Times New Roman" w:hAnsi="Times New Roman" w:cs="Times New Roman"/>
          <w:sz w:val="24"/>
          <w:szCs w:val="24"/>
        </w:rPr>
        <w:t xml:space="preserve">, to better link </w:t>
      </w:r>
      <w:r w:rsidRPr="0074705A">
        <w:rPr>
          <w:rFonts w:ascii="Times New Roman" w:hAnsi="Times New Roman" w:cs="Times New Roman"/>
          <w:sz w:val="24"/>
          <w:szCs w:val="24"/>
        </w:rPr>
        <w:t>the requirements in the Act to the relevant guidance.</w:t>
      </w:r>
    </w:p>
    <w:p w:rsidR="0074705A" w:rsidRPr="0074705A" w:rsidRDefault="0074705A" w:rsidP="0074705A">
      <w:pPr>
        <w:pStyle w:val="CABNETParagraph"/>
        <w:numPr>
          <w:ilvl w:val="0"/>
          <w:numId w:val="2"/>
        </w:numPr>
        <w:rPr>
          <w:rFonts w:ascii="Times New Roman" w:hAnsi="Times New Roman" w:cs="Times New Roman"/>
          <w:sz w:val="24"/>
          <w:szCs w:val="24"/>
        </w:rPr>
      </w:pPr>
      <w:r w:rsidRPr="0074705A">
        <w:rPr>
          <w:rFonts w:ascii="Times New Roman" w:hAnsi="Times New Roman" w:cs="Times New Roman"/>
          <w:sz w:val="24"/>
          <w:szCs w:val="24"/>
        </w:rPr>
        <w:t xml:space="preserve">Throughout 2016 we reviewed RMG material, informed by the first two years of operation of the PGPA Act and </w:t>
      </w:r>
      <w:r w:rsidR="00862121">
        <w:rPr>
          <w:rFonts w:ascii="Times New Roman" w:hAnsi="Times New Roman" w:cs="Times New Roman"/>
          <w:sz w:val="24"/>
          <w:szCs w:val="24"/>
        </w:rPr>
        <w:t>R</w:t>
      </w:r>
      <w:r w:rsidRPr="0074705A">
        <w:rPr>
          <w:rFonts w:ascii="Times New Roman" w:hAnsi="Times New Roman" w:cs="Times New Roman"/>
          <w:sz w:val="24"/>
          <w:szCs w:val="24"/>
        </w:rPr>
        <w:t xml:space="preserve">ules, to assess how it can be better targeted to meet user needs; be more accessible; provide a more complete view of the Commonwealth resource management framework; and address the recommendations of the Belcher Red Tape Review. </w:t>
      </w:r>
    </w:p>
    <w:p w:rsidR="0074705A" w:rsidRPr="0074705A" w:rsidRDefault="0074705A" w:rsidP="0074705A">
      <w:pPr>
        <w:pStyle w:val="CABNETParagraph"/>
        <w:numPr>
          <w:ilvl w:val="0"/>
          <w:numId w:val="2"/>
        </w:numPr>
        <w:rPr>
          <w:rFonts w:ascii="Times New Roman" w:hAnsi="Times New Roman" w:cs="Times New Roman"/>
          <w:sz w:val="24"/>
          <w:szCs w:val="24"/>
        </w:rPr>
      </w:pPr>
      <w:r w:rsidRPr="0074705A">
        <w:rPr>
          <w:rFonts w:ascii="Times New Roman" w:hAnsi="Times New Roman" w:cs="Times New Roman"/>
          <w:sz w:val="24"/>
          <w:szCs w:val="24"/>
        </w:rPr>
        <w:t>Two new guides have been published specifically for particular users:</w:t>
      </w:r>
    </w:p>
    <w:p w:rsidR="0074705A" w:rsidRPr="0074705A" w:rsidRDefault="0074705A" w:rsidP="0074705A">
      <w:pPr>
        <w:pStyle w:val="CABNETParagraph"/>
        <w:numPr>
          <w:ilvl w:val="0"/>
          <w:numId w:val="40"/>
        </w:numPr>
        <w:rPr>
          <w:rFonts w:ascii="Times New Roman" w:hAnsi="Times New Roman" w:cs="Times New Roman"/>
          <w:sz w:val="24"/>
          <w:szCs w:val="24"/>
        </w:rPr>
      </w:pPr>
      <w:r w:rsidRPr="0074705A">
        <w:rPr>
          <w:rFonts w:ascii="Times New Roman" w:hAnsi="Times New Roman" w:cs="Times New Roman"/>
          <w:sz w:val="24"/>
          <w:szCs w:val="24"/>
        </w:rPr>
        <w:t xml:space="preserve">In December 2016, we released the new </w:t>
      </w:r>
      <w:hyperlink r:id="rId18" w:history="1">
        <w:r w:rsidRPr="0074705A">
          <w:rPr>
            <w:rStyle w:val="Hyperlink"/>
            <w:rFonts w:ascii="Times New Roman" w:hAnsi="Times New Roman" w:cs="Times New Roman"/>
            <w:sz w:val="24"/>
            <w:szCs w:val="24"/>
          </w:rPr>
          <w:t>guide to the PGPA Act for Secretaries, Chief Executives and governing boards (accountable authorities</w:t>
        </w:r>
      </w:hyperlink>
      <w:r w:rsidR="00862121">
        <w:rPr>
          <w:rStyle w:val="Hyperlink"/>
          <w:rFonts w:ascii="Times New Roman" w:hAnsi="Times New Roman" w:cs="Times New Roman"/>
          <w:sz w:val="24"/>
          <w:szCs w:val="24"/>
        </w:rPr>
        <w:t>)</w:t>
      </w:r>
      <w:r w:rsidRPr="0074705A">
        <w:rPr>
          <w:rFonts w:ascii="Times New Roman" w:hAnsi="Times New Roman" w:cs="Times New Roman"/>
          <w:sz w:val="24"/>
          <w:szCs w:val="24"/>
        </w:rPr>
        <w:t xml:space="preserve"> (RMG 200).  This guide is designed to assist accountabilities authorities to meet their duties and responsibilities under the PGPA Act by governing their entity and contributing to the priorities and objective</w:t>
      </w:r>
      <w:r w:rsidR="00B45B19">
        <w:rPr>
          <w:rFonts w:ascii="Times New Roman" w:hAnsi="Times New Roman" w:cs="Times New Roman"/>
          <w:sz w:val="24"/>
          <w:szCs w:val="24"/>
        </w:rPr>
        <w:t>s</w:t>
      </w:r>
      <w:r w:rsidRPr="0074705A">
        <w:rPr>
          <w:rFonts w:ascii="Times New Roman" w:hAnsi="Times New Roman" w:cs="Times New Roman"/>
          <w:sz w:val="24"/>
          <w:szCs w:val="24"/>
        </w:rPr>
        <w:t xml:space="preserve"> of the government. </w:t>
      </w:r>
    </w:p>
    <w:p w:rsidR="00EC2457" w:rsidRPr="0074705A" w:rsidRDefault="0074705A" w:rsidP="0074705A">
      <w:pPr>
        <w:pStyle w:val="CABNETParagraph"/>
        <w:numPr>
          <w:ilvl w:val="0"/>
          <w:numId w:val="41"/>
        </w:numPr>
        <w:ind w:left="709"/>
        <w:rPr>
          <w:rFonts w:ascii="Times New Roman" w:hAnsi="Times New Roman" w:cs="Times New Roman"/>
          <w:sz w:val="24"/>
          <w:szCs w:val="24"/>
        </w:rPr>
      </w:pPr>
      <w:r w:rsidRPr="0074705A">
        <w:rPr>
          <w:rFonts w:ascii="Times New Roman" w:hAnsi="Times New Roman" w:cs="Times New Roman"/>
          <w:sz w:val="24"/>
          <w:szCs w:val="24"/>
        </w:rPr>
        <w:t xml:space="preserve">In May 2017, we released new guidance to </w:t>
      </w:r>
      <w:hyperlink r:id="rId19" w:history="1">
        <w:r w:rsidRPr="0074705A">
          <w:rPr>
            <w:rStyle w:val="Hyperlink"/>
            <w:rFonts w:ascii="Times New Roman" w:hAnsi="Times New Roman" w:cs="Times New Roman"/>
            <w:sz w:val="24"/>
            <w:szCs w:val="24"/>
          </w:rPr>
          <w:t>introduce officials to the PGPA Act</w:t>
        </w:r>
      </w:hyperlink>
      <w:r w:rsidRPr="0074705A">
        <w:rPr>
          <w:rFonts w:ascii="Times New Roman" w:hAnsi="Times New Roman" w:cs="Times New Roman"/>
          <w:sz w:val="24"/>
          <w:szCs w:val="24"/>
        </w:rPr>
        <w:t xml:space="preserve"> (RMG 002).  This guidance </w:t>
      </w:r>
      <w:r w:rsidRPr="0074705A">
        <w:rPr>
          <w:rFonts w:ascii="Times New Roman" w:hAnsi="Times New Roman" w:cs="Times New Roman"/>
          <w:color w:val="000000"/>
          <w:sz w:val="24"/>
          <w:szCs w:val="24"/>
        </w:rPr>
        <w:t xml:space="preserve">summarises the basic duties and responsibilities of officials in all Commonwealth entities under the PGPA Act. This new RMG also provides links to other relevant resources and guidance including eLearning modules, brochures and other RMGs. </w:t>
      </w:r>
      <w:r w:rsidR="00EC2457" w:rsidRPr="0074705A">
        <w:rPr>
          <w:rFonts w:ascii="Times New Roman" w:hAnsi="Times New Roman" w:cs="Times New Roman"/>
          <w:color w:val="000000"/>
          <w:sz w:val="24"/>
          <w:szCs w:val="24"/>
        </w:rPr>
        <w:t xml:space="preserve"> </w:t>
      </w:r>
    </w:p>
    <w:p w:rsidR="004A068E" w:rsidRPr="004916BD" w:rsidRDefault="004A068E" w:rsidP="004A068E">
      <w:pPr>
        <w:pStyle w:val="CABNETParagraph"/>
        <w:numPr>
          <w:ilvl w:val="0"/>
          <w:numId w:val="2"/>
        </w:numPr>
        <w:rPr>
          <w:rFonts w:ascii="Times New Roman" w:hAnsi="Times New Roman" w:cs="Times New Roman"/>
          <w:sz w:val="24"/>
          <w:szCs w:val="24"/>
        </w:rPr>
      </w:pPr>
      <w:r w:rsidRPr="004916BD">
        <w:rPr>
          <w:rFonts w:ascii="Times New Roman" w:hAnsi="Times New Roman" w:cs="Times New Roman"/>
          <w:sz w:val="24"/>
        </w:rPr>
        <w:t xml:space="preserve">Additionally, </w:t>
      </w:r>
      <w:r w:rsidRPr="00156A71">
        <w:rPr>
          <w:rFonts w:ascii="Times New Roman" w:hAnsi="Times New Roman" w:cs="Times New Roman"/>
          <w:sz w:val="24"/>
          <w:szCs w:val="24"/>
        </w:rPr>
        <w:t xml:space="preserve">regular </w:t>
      </w:r>
      <w:hyperlink r:id="rId20" w:history="1">
        <w:r w:rsidRPr="00156A71">
          <w:rPr>
            <w:rStyle w:val="Hyperlink"/>
            <w:rFonts w:ascii="Times New Roman" w:hAnsi="Times New Roman" w:cs="Times New Roman"/>
            <w:sz w:val="24"/>
            <w:szCs w:val="24"/>
          </w:rPr>
          <w:t>PMRA Newsletters</w:t>
        </w:r>
      </w:hyperlink>
      <w:r w:rsidRPr="004916BD">
        <w:rPr>
          <w:color w:val="1F497D"/>
        </w:rPr>
        <w:t xml:space="preserve"> </w:t>
      </w:r>
      <w:r w:rsidR="00156A71" w:rsidRPr="007E5F24">
        <w:rPr>
          <w:rFonts w:ascii="Times New Roman" w:hAnsi="Times New Roman" w:cs="Times New Roman"/>
          <w:sz w:val="24"/>
          <w:szCs w:val="24"/>
        </w:rPr>
        <w:t>have continued to</w:t>
      </w:r>
      <w:r w:rsidR="00156A71" w:rsidRPr="007E5F24">
        <w:t xml:space="preserve"> </w:t>
      </w:r>
      <w:r w:rsidRPr="007E5F24">
        <w:rPr>
          <w:rFonts w:ascii="Times New Roman" w:hAnsi="Times New Roman" w:cs="Times New Roman"/>
          <w:sz w:val="24"/>
        </w:rPr>
        <w:t>be distributed</w:t>
      </w:r>
      <w:r w:rsidRPr="004916BD">
        <w:rPr>
          <w:rFonts w:ascii="Times New Roman" w:hAnsi="Times New Roman" w:cs="Times New Roman"/>
          <w:sz w:val="24"/>
        </w:rPr>
        <w:t xml:space="preserve"> and made available online to advise officials of the latest developments and seek questions or feedback.</w:t>
      </w:r>
    </w:p>
    <w:p w:rsidR="00A36312" w:rsidRPr="009D5E93" w:rsidRDefault="00E46B22" w:rsidP="00A36312">
      <w:pPr>
        <w:pStyle w:val="CABNETParagraph"/>
        <w:rPr>
          <w:rFonts w:ascii="Times New Roman" w:hAnsi="Times New Roman" w:cs="Times New Roman"/>
          <w:b/>
          <w:i/>
          <w:sz w:val="24"/>
          <w:szCs w:val="24"/>
        </w:rPr>
      </w:pPr>
      <w:r>
        <w:rPr>
          <w:rFonts w:ascii="Times New Roman" w:hAnsi="Times New Roman" w:cs="Times New Roman"/>
          <w:b/>
          <w:i/>
          <w:sz w:val="24"/>
          <w:szCs w:val="24"/>
        </w:rPr>
        <w:br/>
      </w:r>
      <w:r w:rsidR="00A36312" w:rsidRPr="009D5E93">
        <w:rPr>
          <w:rFonts w:ascii="Times New Roman" w:hAnsi="Times New Roman" w:cs="Times New Roman"/>
          <w:b/>
          <w:i/>
          <w:sz w:val="24"/>
          <w:szCs w:val="24"/>
        </w:rPr>
        <w:t>Model Accountab</w:t>
      </w:r>
      <w:r w:rsidR="00862121">
        <w:rPr>
          <w:rFonts w:ascii="Times New Roman" w:hAnsi="Times New Roman" w:cs="Times New Roman"/>
          <w:b/>
          <w:i/>
          <w:sz w:val="24"/>
          <w:szCs w:val="24"/>
        </w:rPr>
        <w:t>le Authority</w:t>
      </w:r>
      <w:r w:rsidR="00A36312" w:rsidRPr="009D5E93">
        <w:rPr>
          <w:rFonts w:ascii="Times New Roman" w:hAnsi="Times New Roman" w:cs="Times New Roman"/>
          <w:b/>
          <w:i/>
          <w:sz w:val="24"/>
          <w:szCs w:val="24"/>
        </w:rPr>
        <w:t xml:space="preserve"> Instructions</w:t>
      </w:r>
    </w:p>
    <w:p w:rsidR="006D60EE" w:rsidRPr="004B50AE" w:rsidRDefault="00DA6531" w:rsidP="00A75EBC">
      <w:pPr>
        <w:pStyle w:val="CABNETParagraph"/>
        <w:numPr>
          <w:ilvl w:val="0"/>
          <w:numId w:val="2"/>
        </w:numPr>
        <w:rPr>
          <w:rFonts w:ascii="Times New Roman" w:hAnsi="Times New Roman" w:cs="Times New Roman"/>
          <w:sz w:val="24"/>
          <w:szCs w:val="24"/>
        </w:rPr>
      </w:pPr>
      <w:r w:rsidRPr="004B50AE">
        <w:rPr>
          <w:rFonts w:ascii="Times New Roman" w:hAnsi="Times New Roman" w:cs="Times New Roman"/>
          <w:sz w:val="24"/>
          <w:szCs w:val="24"/>
        </w:rPr>
        <w:t xml:space="preserve">Work has been undertaken to </w:t>
      </w:r>
      <w:r w:rsidR="007C260B" w:rsidRPr="004B50AE">
        <w:rPr>
          <w:rFonts w:ascii="Times New Roman" w:hAnsi="Times New Roman" w:cs="Times New Roman"/>
          <w:sz w:val="24"/>
          <w:szCs w:val="24"/>
        </w:rPr>
        <w:t xml:space="preserve">streamline </w:t>
      </w:r>
      <w:r w:rsidR="004A068E" w:rsidRPr="004B50AE">
        <w:rPr>
          <w:rFonts w:ascii="Times New Roman" w:hAnsi="Times New Roman" w:cs="Times New Roman"/>
          <w:sz w:val="24"/>
          <w:szCs w:val="24"/>
        </w:rPr>
        <w:t xml:space="preserve">the </w:t>
      </w:r>
      <w:hyperlink r:id="rId21" w:history="1">
        <w:r w:rsidR="004B50AE" w:rsidRPr="004B50AE">
          <w:rPr>
            <w:rStyle w:val="Hyperlink"/>
            <w:rFonts w:ascii="Times New Roman" w:hAnsi="Times New Roman" w:cs="Times New Roman"/>
            <w:sz w:val="24"/>
            <w:szCs w:val="24"/>
          </w:rPr>
          <w:t>Model Accountable Authority Instructions (AAIs)</w:t>
        </w:r>
      </w:hyperlink>
      <w:r w:rsidR="004B50AE" w:rsidRPr="004B50AE">
        <w:rPr>
          <w:rFonts w:ascii="Times New Roman" w:hAnsi="Times New Roman" w:cs="Times New Roman"/>
          <w:sz w:val="24"/>
          <w:szCs w:val="24"/>
        </w:rPr>
        <w:t xml:space="preserve"> (RMG 206) </w:t>
      </w:r>
      <w:r w:rsidR="006D60EE" w:rsidRPr="004B50AE">
        <w:rPr>
          <w:rFonts w:ascii="Times New Roman" w:hAnsi="Times New Roman" w:cs="Times New Roman"/>
          <w:sz w:val="24"/>
          <w:szCs w:val="24"/>
        </w:rPr>
        <w:t>to support the development of fit-for</w:t>
      </w:r>
      <w:r w:rsidR="00927E02" w:rsidRPr="004B50AE">
        <w:rPr>
          <w:rFonts w:ascii="Times New Roman" w:hAnsi="Times New Roman" w:cs="Times New Roman"/>
          <w:sz w:val="24"/>
          <w:szCs w:val="24"/>
        </w:rPr>
        <w:noBreakHyphen/>
      </w:r>
      <w:r w:rsidR="006D60EE" w:rsidRPr="004B50AE">
        <w:rPr>
          <w:rFonts w:ascii="Times New Roman" w:hAnsi="Times New Roman" w:cs="Times New Roman"/>
          <w:sz w:val="24"/>
          <w:szCs w:val="24"/>
        </w:rPr>
        <w:t>purpose instructions for individual entities.</w:t>
      </w:r>
      <w:r w:rsidRPr="004B50AE">
        <w:rPr>
          <w:rFonts w:ascii="Times New Roman" w:hAnsi="Times New Roman" w:cs="Times New Roman"/>
          <w:sz w:val="24"/>
          <w:szCs w:val="24"/>
        </w:rPr>
        <w:t xml:space="preserve">  This work was completed by the end of 2016.  </w:t>
      </w:r>
      <w:r w:rsidR="006D60EE" w:rsidRPr="004B50AE">
        <w:rPr>
          <w:rFonts w:ascii="Times New Roman" w:hAnsi="Times New Roman" w:cs="Times New Roman"/>
          <w:sz w:val="24"/>
          <w:szCs w:val="24"/>
        </w:rPr>
        <w:t xml:space="preserve"> </w:t>
      </w:r>
    </w:p>
    <w:p w:rsidR="00CA3E93" w:rsidRPr="004916BD" w:rsidRDefault="007C260B" w:rsidP="00A75EBC">
      <w:pPr>
        <w:pStyle w:val="CABNETParagraph"/>
        <w:numPr>
          <w:ilvl w:val="0"/>
          <w:numId w:val="2"/>
        </w:numPr>
        <w:rPr>
          <w:rFonts w:ascii="Times New Roman" w:hAnsi="Times New Roman" w:cs="Times New Roman"/>
          <w:color w:val="1F497D"/>
          <w:sz w:val="24"/>
          <w:szCs w:val="24"/>
        </w:rPr>
      </w:pPr>
      <w:r>
        <w:rPr>
          <w:rFonts w:ascii="Times New Roman" w:hAnsi="Times New Roman" w:cs="Times New Roman"/>
          <w:sz w:val="24"/>
          <w:szCs w:val="24"/>
        </w:rPr>
        <w:t xml:space="preserve">The </w:t>
      </w:r>
      <w:r w:rsidR="00A52B1D">
        <w:rPr>
          <w:rFonts w:ascii="Times New Roman" w:hAnsi="Times New Roman" w:cs="Times New Roman"/>
          <w:sz w:val="24"/>
          <w:szCs w:val="24"/>
        </w:rPr>
        <w:t>M</w:t>
      </w:r>
      <w:r w:rsidR="006D60EE" w:rsidRPr="004916BD">
        <w:rPr>
          <w:rFonts w:ascii="Times New Roman" w:hAnsi="Times New Roman" w:cs="Times New Roman"/>
          <w:sz w:val="24"/>
          <w:szCs w:val="24"/>
        </w:rPr>
        <w:t xml:space="preserve">odel </w:t>
      </w:r>
      <w:r w:rsidR="00743B4A">
        <w:rPr>
          <w:rFonts w:ascii="Times New Roman" w:hAnsi="Times New Roman" w:cs="Times New Roman"/>
          <w:sz w:val="24"/>
          <w:szCs w:val="24"/>
        </w:rPr>
        <w:t>AAIs</w:t>
      </w:r>
      <w:r>
        <w:rPr>
          <w:rFonts w:ascii="Times New Roman" w:hAnsi="Times New Roman" w:cs="Times New Roman"/>
          <w:sz w:val="24"/>
          <w:szCs w:val="24"/>
        </w:rPr>
        <w:t xml:space="preserve"> help</w:t>
      </w:r>
      <w:r w:rsidR="006D60EE" w:rsidRPr="004916BD">
        <w:rPr>
          <w:rFonts w:ascii="Times New Roman" w:hAnsi="Times New Roman" w:cs="Times New Roman"/>
          <w:sz w:val="24"/>
          <w:szCs w:val="24"/>
        </w:rPr>
        <w:t xml:space="preserve"> entities to develop instructions and operational guidance that meet the</w:t>
      </w:r>
      <w:r w:rsidR="00927E02">
        <w:rPr>
          <w:rFonts w:ascii="Times New Roman" w:hAnsi="Times New Roman" w:cs="Times New Roman"/>
          <w:sz w:val="24"/>
          <w:szCs w:val="24"/>
        </w:rPr>
        <w:t>ir particular</w:t>
      </w:r>
      <w:r w:rsidR="006D60EE" w:rsidRPr="004916BD">
        <w:rPr>
          <w:rFonts w:ascii="Times New Roman" w:hAnsi="Times New Roman" w:cs="Times New Roman"/>
          <w:sz w:val="24"/>
          <w:szCs w:val="24"/>
        </w:rPr>
        <w:t xml:space="preserve"> needs. The </w:t>
      </w:r>
      <w:r w:rsidR="00927E02">
        <w:rPr>
          <w:rFonts w:ascii="Times New Roman" w:hAnsi="Times New Roman" w:cs="Times New Roman"/>
          <w:sz w:val="24"/>
          <w:szCs w:val="24"/>
        </w:rPr>
        <w:t>M</w:t>
      </w:r>
      <w:r w:rsidR="006D60EE" w:rsidRPr="004916BD">
        <w:rPr>
          <w:rFonts w:ascii="Times New Roman" w:hAnsi="Times New Roman" w:cs="Times New Roman"/>
          <w:sz w:val="24"/>
          <w:szCs w:val="24"/>
        </w:rPr>
        <w:t>odel AAIs are not intended to be prescriptive or exhaustive</w:t>
      </w:r>
      <w:r w:rsidR="00927E02">
        <w:rPr>
          <w:rFonts w:ascii="Times New Roman" w:hAnsi="Times New Roman" w:cs="Times New Roman"/>
          <w:sz w:val="24"/>
          <w:szCs w:val="24"/>
        </w:rPr>
        <w:t>,</w:t>
      </w:r>
      <w:r w:rsidR="006D60EE" w:rsidRPr="004916BD">
        <w:rPr>
          <w:rFonts w:ascii="Times New Roman" w:hAnsi="Times New Roman" w:cs="Times New Roman"/>
          <w:sz w:val="24"/>
          <w:szCs w:val="24"/>
        </w:rPr>
        <w:t xml:space="preserve"> as individual entity requirements may differ. They </w:t>
      </w:r>
      <w:r w:rsidR="00927E02">
        <w:rPr>
          <w:rFonts w:ascii="Times New Roman" w:hAnsi="Times New Roman" w:cs="Times New Roman"/>
          <w:sz w:val="24"/>
          <w:szCs w:val="24"/>
        </w:rPr>
        <w:t xml:space="preserve">are designed to </w:t>
      </w:r>
      <w:r w:rsidR="006D60EE" w:rsidRPr="004916BD">
        <w:rPr>
          <w:rFonts w:ascii="Times New Roman" w:hAnsi="Times New Roman" w:cs="Times New Roman"/>
          <w:sz w:val="24"/>
          <w:szCs w:val="24"/>
        </w:rPr>
        <w:t xml:space="preserve">help officials to understand and comply with the key requirements of the resource management framework and accountable authorities to develop instructions in line with their entity’s needs and </w:t>
      </w:r>
      <w:r w:rsidR="004A068E">
        <w:rPr>
          <w:rFonts w:ascii="Times New Roman" w:hAnsi="Times New Roman" w:cs="Times New Roman"/>
          <w:sz w:val="24"/>
          <w:szCs w:val="24"/>
        </w:rPr>
        <w:t>operating environment</w:t>
      </w:r>
      <w:r w:rsidR="006D60EE" w:rsidRPr="004916BD">
        <w:rPr>
          <w:rFonts w:ascii="Times New Roman" w:hAnsi="Times New Roman" w:cs="Times New Roman"/>
          <w:sz w:val="24"/>
          <w:szCs w:val="24"/>
        </w:rPr>
        <w:t xml:space="preserve">. </w:t>
      </w:r>
    </w:p>
    <w:p w:rsidR="004A068E" w:rsidRDefault="004A068E" w:rsidP="00993C96">
      <w:pPr>
        <w:pStyle w:val="Heading2"/>
        <w:spacing w:before="120"/>
        <w:ind w:left="426" w:hanging="426"/>
        <w:rPr>
          <w:rFonts w:ascii="Times New Roman" w:hAnsi="Times New Roman" w:cs="Times New Roman"/>
          <w:i/>
          <w:color w:val="auto"/>
          <w:sz w:val="28"/>
          <w:szCs w:val="28"/>
        </w:rPr>
      </w:pPr>
    </w:p>
    <w:p w:rsidR="0059040B" w:rsidRPr="009D5E93" w:rsidRDefault="00880029" w:rsidP="008C43C0">
      <w:pPr>
        <w:rPr>
          <w:rFonts w:ascii="Times New Roman" w:hAnsi="Times New Roman" w:cs="Times New Roman"/>
          <w:bCs/>
          <w:i/>
          <w:sz w:val="24"/>
          <w:szCs w:val="24"/>
        </w:rPr>
      </w:pPr>
      <w:r w:rsidRPr="008C43C0">
        <w:rPr>
          <w:rFonts w:ascii="Times New Roman" w:hAnsi="Times New Roman"/>
          <w:b/>
          <w:i/>
          <w:sz w:val="24"/>
          <w:szCs w:val="24"/>
        </w:rPr>
        <w:t>I</w:t>
      </w:r>
      <w:r w:rsidR="007F1047" w:rsidRPr="008C43C0">
        <w:rPr>
          <w:rFonts w:ascii="Times New Roman" w:hAnsi="Times New Roman"/>
          <w:b/>
          <w:i/>
          <w:sz w:val="24"/>
          <w:szCs w:val="24"/>
        </w:rPr>
        <w:t>ndependent Review</w:t>
      </w:r>
    </w:p>
    <w:p w:rsidR="00F7304D" w:rsidRPr="00F7304D" w:rsidRDefault="00E60AF4" w:rsidP="00880029">
      <w:pPr>
        <w:pStyle w:val="CABNETParagraph"/>
        <w:numPr>
          <w:ilvl w:val="0"/>
          <w:numId w:val="2"/>
        </w:numPr>
      </w:pPr>
      <w:r w:rsidRPr="00880029">
        <w:rPr>
          <w:rFonts w:ascii="Times New Roman" w:hAnsi="Times New Roman" w:cs="Times New Roman"/>
          <w:sz w:val="24"/>
        </w:rPr>
        <w:t>A key statutory requirement</w:t>
      </w:r>
      <w:r w:rsidR="004A068E">
        <w:rPr>
          <w:rFonts w:ascii="Times New Roman" w:hAnsi="Times New Roman" w:cs="Times New Roman"/>
          <w:sz w:val="24"/>
        </w:rPr>
        <w:t>,</w:t>
      </w:r>
      <w:r w:rsidRPr="00880029">
        <w:rPr>
          <w:rFonts w:ascii="Times New Roman" w:hAnsi="Times New Roman" w:cs="Times New Roman"/>
          <w:sz w:val="24"/>
        </w:rPr>
        <w:t xml:space="preserve"> under section 112 of the PGPA Act</w:t>
      </w:r>
      <w:r w:rsidR="004A068E">
        <w:rPr>
          <w:rFonts w:ascii="Times New Roman" w:hAnsi="Times New Roman" w:cs="Times New Roman"/>
          <w:sz w:val="24"/>
        </w:rPr>
        <w:t>,</w:t>
      </w:r>
      <w:r w:rsidRPr="00880029">
        <w:rPr>
          <w:rFonts w:ascii="Times New Roman" w:hAnsi="Times New Roman" w:cs="Times New Roman"/>
          <w:sz w:val="24"/>
        </w:rPr>
        <w:t xml:space="preserve"> is for an independent review to be conducted of the operation of the PGPA Act and </w:t>
      </w:r>
      <w:r w:rsidR="00F7304D">
        <w:rPr>
          <w:rFonts w:ascii="Times New Roman" w:hAnsi="Times New Roman" w:cs="Times New Roman"/>
          <w:sz w:val="24"/>
        </w:rPr>
        <w:t>R</w:t>
      </w:r>
      <w:r w:rsidRPr="00880029">
        <w:rPr>
          <w:rFonts w:ascii="Times New Roman" w:hAnsi="Times New Roman" w:cs="Times New Roman"/>
          <w:sz w:val="24"/>
        </w:rPr>
        <w:t xml:space="preserve">ules. </w:t>
      </w:r>
      <w:r w:rsidR="00156A71">
        <w:rPr>
          <w:rFonts w:ascii="Times New Roman" w:hAnsi="Times New Roman" w:cs="Times New Roman"/>
          <w:sz w:val="24"/>
        </w:rPr>
        <w:t xml:space="preserve">Scoping for this to occur </w:t>
      </w:r>
      <w:r w:rsidRPr="00880029">
        <w:rPr>
          <w:rFonts w:ascii="Times New Roman" w:hAnsi="Times New Roman" w:cs="Times New Roman"/>
          <w:sz w:val="24"/>
        </w:rPr>
        <w:t>in the second half of 2017</w:t>
      </w:r>
      <w:r w:rsidR="00156A71">
        <w:rPr>
          <w:rFonts w:ascii="Times New Roman" w:hAnsi="Times New Roman" w:cs="Times New Roman"/>
          <w:sz w:val="24"/>
        </w:rPr>
        <w:t xml:space="preserve"> is currently underway</w:t>
      </w:r>
      <w:r w:rsidR="00A52B1D">
        <w:rPr>
          <w:rFonts w:ascii="Times New Roman" w:hAnsi="Times New Roman" w:cs="Times New Roman"/>
          <w:sz w:val="24"/>
        </w:rPr>
        <w:t xml:space="preserve">, with the </w:t>
      </w:r>
      <w:r w:rsidRPr="00880029">
        <w:rPr>
          <w:rFonts w:ascii="Times New Roman" w:hAnsi="Times New Roman" w:cs="Times New Roman"/>
          <w:sz w:val="24"/>
        </w:rPr>
        <w:t xml:space="preserve">review to be put in place by the Finance Minister, in consultation with the </w:t>
      </w:r>
      <w:r w:rsidR="00743B4A">
        <w:rPr>
          <w:rFonts w:ascii="Times New Roman" w:hAnsi="Times New Roman" w:cs="Times New Roman"/>
          <w:sz w:val="24"/>
        </w:rPr>
        <w:t>Committee</w:t>
      </w:r>
      <w:r w:rsidR="00927E02">
        <w:rPr>
          <w:rFonts w:ascii="Times New Roman" w:hAnsi="Times New Roman" w:cs="Times New Roman"/>
          <w:sz w:val="24"/>
        </w:rPr>
        <w:t xml:space="preserve"> (section 112(1) of the PGPA Act)</w:t>
      </w:r>
      <w:r w:rsidR="00A52B1D">
        <w:rPr>
          <w:rFonts w:ascii="Times New Roman" w:hAnsi="Times New Roman" w:cs="Times New Roman"/>
          <w:sz w:val="24"/>
        </w:rPr>
        <w:t>. The</w:t>
      </w:r>
      <w:r w:rsidRPr="00880029">
        <w:rPr>
          <w:rFonts w:ascii="Times New Roman" w:hAnsi="Times New Roman" w:cs="Times New Roman"/>
          <w:sz w:val="24"/>
        </w:rPr>
        <w:t xml:space="preserve"> review report must be tabled in the </w:t>
      </w:r>
      <w:r w:rsidR="004A068E">
        <w:rPr>
          <w:rFonts w:ascii="Times New Roman" w:hAnsi="Times New Roman" w:cs="Times New Roman"/>
          <w:sz w:val="24"/>
        </w:rPr>
        <w:t>P</w:t>
      </w:r>
      <w:r w:rsidRPr="00880029">
        <w:rPr>
          <w:rFonts w:ascii="Times New Roman" w:hAnsi="Times New Roman" w:cs="Times New Roman"/>
          <w:sz w:val="24"/>
        </w:rPr>
        <w:t xml:space="preserve">arliament. </w:t>
      </w:r>
    </w:p>
    <w:p w:rsidR="007639F8" w:rsidRPr="007639F8" w:rsidRDefault="00A52B1D" w:rsidP="00F7304D">
      <w:pPr>
        <w:pStyle w:val="CABNETParagraph"/>
        <w:numPr>
          <w:ilvl w:val="0"/>
          <w:numId w:val="2"/>
        </w:numPr>
        <w:rPr>
          <w:rFonts w:ascii="Times New Roman" w:hAnsi="Times New Roman" w:cs="Times New Roman"/>
          <w:sz w:val="24"/>
          <w:szCs w:val="24"/>
        </w:rPr>
      </w:pPr>
      <w:r>
        <w:rPr>
          <w:rFonts w:ascii="Times New Roman" w:hAnsi="Times New Roman" w:cs="Times New Roman"/>
          <w:sz w:val="24"/>
        </w:rPr>
        <w:t>We expect that the review</w:t>
      </w:r>
      <w:r w:rsidR="00F7304D" w:rsidRPr="00F7304D">
        <w:rPr>
          <w:rFonts w:ascii="Times New Roman" w:hAnsi="Times New Roman" w:cs="Times New Roman"/>
          <w:sz w:val="24"/>
        </w:rPr>
        <w:t xml:space="preserve"> will gather perspectives from </w:t>
      </w:r>
      <w:r>
        <w:rPr>
          <w:rFonts w:ascii="Times New Roman" w:hAnsi="Times New Roman" w:cs="Times New Roman"/>
          <w:sz w:val="24"/>
        </w:rPr>
        <w:t xml:space="preserve">the Parliament, </w:t>
      </w:r>
      <w:r w:rsidR="00F7304D" w:rsidRPr="00F7304D">
        <w:rPr>
          <w:rFonts w:ascii="Times New Roman" w:hAnsi="Times New Roman" w:cs="Times New Roman"/>
          <w:sz w:val="24"/>
        </w:rPr>
        <w:t xml:space="preserve">Commonwealth entities and companies, and other stakeholders on the operation of the PGPA Act and </w:t>
      </w:r>
      <w:r w:rsidR="00D736B8">
        <w:rPr>
          <w:rFonts w:ascii="Times New Roman" w:hAnsi="Times New Roman" w:cs="Times New Roman"/>
          <w:sz w:val="24"/>
        </w:rPr>
        <w:t>R</w:t>
      </w:r>
      <w:r w:rsidR="00F7304D" w:rsidRPr="00F7304D">
        <w:rPr>
          <w:rFonts w:ascii="Times New Roman" w:hAnsi="Times New Roman" w:cs="Times New Roman"/>
          <w:sz w:val="24"/>
        </w:rPr>
        <w:t xml:space="preserve">ules. </w:t>
      </w:r>
      <w:r w:rsidR="00156A71" w:rsidRPr="005479CE">
        <w:rPr>
          <w:rFonts w:ascii="Times New Roman" w:hAnsi="Times New Roman" w:cs="Times New Roman"/>
          <w:sz w:val="24"/>
        </w:rPr>
        <w:t xml:space="preserve">Consultation with approximately </w:t>
      </w:r>
      <w:r w:rsidR="009E5020" w:rsidRPr="005479CE">
        <w:rPr>
          <w:rFonts w:ascii="Times New Roman" w:hAnsi="Times New Roman" w:cs="Times New Roman"/>
          <w:sz w:val="24"/>
        </w:rPr>
        <w:t>60 entities</w:t>
      </w:r>
      <w:r w:rsidR="007639F8" w:rsidRPr="005479CE">
        <w:rPr>
          <w:rFonts w:ascii="Times New Roman" w:hAnsi="Times New Roman" w:cs="Times New Roman"/>
          <w:sz w:val="24"/>
        </w:rPr>
        <w:t xml:space="preserve"> has been undertaken following analysis of the PMRA CFO survey conducted in October 2016.</w:t>
      </w:r>
      <w:r w:rsidR="007639F8">
        <w:rPr>
          <w:rFonts w:ascii="Times New Roman" w:hAnsi="Times New Roman" w:cs="Times New Roman"/>
          <w:sz w:val="24"/>
        </w:rPr>
        <w:t xml:space="preserve">  </w:t>
      </w:r>
    </w:p>
    <w:p w:rsidR="00921853" w:rsidRDefault="007639F8" w:rsidP="00F7304D">
      <w:pPr>
        <w:pStyle w:val="CABNETParagraph"/>
        <w:numPr>
          <w:ilvl w:val="0"/>
          <w:numId w:val="2"/>
        </w:numPr>
        <w:rPr>
          <w:rFonts w:ascii="Times New Roman" w:hAnsi="Times New Roman" w:cs="Times New Roman"/>
          <w:sz w:val="24"/>
          <w:szCs w:val="24"/>
        </w:rPr>
      </w:pPr>
      <w:r>
        <w:rPr>
          <w:rFonts w:ascii="Times New Roman" w:hAnsi="Times New Roman" w:cs="Times New Roman"/>
          <w:sz w:val="24"/>
        </w:rPr>
        <w:t xml:space="preserve">It is anticipated that the review </w:t>
      </w:r>
      <w:r w:rsidR="00F7304D" w:rsidRPr="00F7304D">
        <w:rPr>
          <w:rFonts w:ascii="Times New Roman" w:hAnsi="Times New Roman" w:cs="Times New Roman"/>
          <w:sz w:val="24"/>
        </w:rPr>
        <w:t xml:space="preserve">will make recommendations to amend and refine legislation and associated policy settings where required. The review will assess whether benefits have been realised, in line with the objects of the </w:t>
      </w:r>
      <w:r w:rsidR="00743B4A">
        <w:rPr>
          <w:rFonts w:ascii="Times New Roman" w:hAnsi="Times New Roman" w:cs="Times New Roman"/>
          <w:sz w:val="24"/>
        </w:rPr>
        <w:t xml:space="preserve">PGPA </w:t>
      </w:r>
      <w:r w:rsidR="00F7304D" w:rsidRPr="00F7304D">
        <w:rPr>
          <w:rFonts w:ascii="Times New Roman" w:hAnsi="Times New Roman" w:cs="Times New Roman"/>
          <w:sz w:val="24"/>
        </w:rPr>
        <w:t>Act</w:t>
      </w:r>
      <w:r w:rsidR="00743B4A">
        <w:rPr>
          <w:rFonts w:ascii="Times New Roman" w:hAnsi="Times New Roman" w:cs="Times New Roman"/>
          <w:sz w:val="24"/>
        </w:rPr>
        <w:t xml:space="preserve"> </w:t>
      </w:r>
      <w:r w:rsidR="00927E02">
        <w:rPr>
          <w:rFonts w:ascii="Times New Roman" w:hAnsi="Times New Roman" w:cs="Times New Roman"/>
          <w:sz w:val="24"/>
        </w:rPr>
        <w:t xml:space="preserve">as outlined in </w:t>
      </w:r>
      <w:r w:rsidR="007F34EB">
        <w:rPr>
          <w:rFonts w:ascii="Times New Roman" w:hAnsi="Times New Roman" w:cs="Times New Roman"/>
          <w:sz w:val="24"/>
        </w:rPr>
        <w:t>s</w:t>
      </w:r>
      <w:r w:rsidR="00743B4A">
        <w:rPr>
          <w:rFonts w:ascii="Times New Roman" w:hAnsi="Times New Roman" w:cs="Times New Roman"/>
          <w:sz w:val="24"/>
        </w:rPr>
        <w:t>ection 5</w:t>
      </w:r>
      <w:r w:rsidR="00927E02">
        <w:rPr>
          <w:rFonts w:ascii="Times New Roman" w:hAnsi="Times New Roman" w:cs="Times New Roman"/>
          <w:sz w:val="24"/>
        </w:rPr>
        <w:t xml:space="preserve"> of the Act</w:t>
      </w:r>
      <w:r w:rsidR="00F7304D" w:rsidRPr="00F7304D">
        <w:rPr>
          <w:rFonts w:ascii="Times New Roman" w:hAnsi="Times New Roman" w:cs="Times New Roman"/>
          <w:sz w:val="24"/>
        </w:rPr>
        <w:t xml:space="preserve">, and may </w:t>
      </w:r>
      <w:r w:rsidR="007F34EB">
        <w:rPr>
          <w:rFonts w:ascii="Times New Roman" w:hAnsi="Times New Roman" w:cs="Times New Roman"/>
          <w:sz w:val="24"/>
        </w:rPr>
        <w:t>make recommendations</w:t>
      </w:r>
      <w:r w:rsidR="00F7304D" w:rsidRPr="00F7304D">
        <w:rPr>
          <w:rFonts w:ascii="Times New Roman" w:hAnsi="Times New Roman" w:cs="Times New Roman"/>
          <w:sz w:val="24"/>
        </w:rPr>
        <w:t xml:space="preserve"> about what should be </w:t>
      </w:r>
      <w:r w:rsidR="00F7304D" w:rsidRPr="00F7304D">
        <w:rPr>
          <w:rFonts w:ascii="Times New Roman" w:hAnsi="Times New Roman" w:cs="Times New Roman"/>
          <w:sz w:val="24"/>
          <w:szCs w:val="24"/>
        </w:rPr>
        <w:t>done in the future.</w:t>
      </w:r>
    </w:p>
    <w:p w:rsidR="009812D8" w:rsidRPr="009E5020" w:rsidRDefault="009812D8" w:rsidP="009E5020">
      <w:pPr>
        <w:pStyle w:val="CABNETParagraph"/>
        <w:ind w:left="360"/>
        <w:rPr>
          <w:rFonts w:ascii="Times New Roman" w:hAnsi="Times New Roman" w:cs="Times New Roman"/>
          <w:sz w:val="24"/>
          <w:szCs w:val="24"/>
        </w:rPr>
        <w:sectPr w:rsidR="009812D8" w:rsidRPr="009E5020" w:rsidSect="00BB2253">
          <w:headerReference w:type="default" r:id="rId22"/>
          <w:footerReference w:type="default" r:id="rId23"/>
          <w:footerReference w:type="first" r:id="rId24"/>
          <w:pgSz w:w="11906" w:h="16838"/>
          <w:pgMar w:top="1440" w:right="1276" w:bottom="1276" w:left="1440" w:header="708" w:footer="427" w:gutter="0"/>
          <w:cols w:space="708"/>
          <w:titlePg/>
          <w:docGrid w:linePitch="360"/>
        </w:sectPr>
      </w:pPr>
    </w:p>
    <w:p w:rsidR="009812D8" w:rsidRPr="00357BC2" w:rsidRDefault="009812D8" w:rsidP="009812D8">
      <w:pPr>
        <w:jc w:val="right"/>
        <w:rPr>
          <w:rFonts w:ascii="Times New Roman" w:hAnsi="Times New Roman" w:cs="Times New Roman"/>
          <w:b/>
          <w:sz w:val="24"/>
          <w:szCs w:val="24"/>
          <w:u w:val="single"/>
        </w:rPr>
      </w:pPr>
      <w:r w:rsidRPr="00357BC2">
        <w:rPr>
          <w:rFonts w:ascii="Times New Roman" w:hAnsi="Times New Roman" w:cs="Times New Roman"/>
          <w:b/>
          <w:sz w:val="24"/>
          <w:szCs w:val="24"/>
          <w:u w:val="single"/>
        </w:rPr>
        <w:t>Attachment A</w:t>
      </w:r>
    </w:p>
    <w:p w:rsidR="007B7FB7" w:rsidRDefault="007B7FB7" w:rsidP="009812D8">
      <w:pPr>
        <w:rPr>
          <w:rFonts w:ascii="Times New Roman" w:hAnsi="Times New Roman" w:cs="Times New Roman"/>
          <w:b/>
          <w:u w:val="single"/>
        </w:rPr>
      </w:pPr>
    </w:p>
    <w:p w:rsidR="009812D8" w:rsidRPr="003328B1" w:rsidRDefault="009812D8" w:rsidP="009812D8">
      <w:pPr>
        <w:rPr>
          <w:rFonts w:ascii="Times New Roman" w:hAnsi="Times New Roman" w:cs="Times New Roman"/>
          <w:b/>
          <w:sz w:val="28"/>
        </w:rPr>
      </w:pPr>
      <w:r w:rsidRPr="003328B1">
        <w:rPr>
          <w:rFonts w:ascii="Times New Roman" w:hAnsi="Times New Roman" w:cs="Times New Roman"/>
          <w:b/>
          <w:sz w:val="28"/>
        </w:rPr>
        <w:t xml:space="preserve">Overview of the </w:t>
      </w:r>
      <w:r w:rsidR="007B7FB7" w:rsidRPr="003328B1">
        <w:rPr>
          <w:rFonts w:ascii="Times New Roman" w:hAnsi="Times New Roman" w:cs="Times New Roman"/>
          <w:b/>
          <w:i/>
          <w:sz w:val="28"/>
        </w:rPr>
        <w:t>Public Governance, Performance and Accountability Act 2013</w:t>
      </w:r>
      <w:r w:rsidR="003328B1">
        <w:rPr>
          <w:rFonts w:ascii="Times New Roman" w:hAnsi="Times New Roman" w:cs="Times New Roman"/>
          <w:b/>
          <w:sz w:val="28"/>
        </w:rPr>
        <w:t xml:space="preserve"> </w:t>
      </w:r>
    </w:p>
    <w:p w:rsidR="009812D8" w:rsidRDefault="009812D8" w:rsidP="00BB2253">
      <w:pPr>
        <w:spacing w:after="0"/>
        <w:rPr>
          <w:rFonts w:ascii="Times New Roman" w:hAnsi="Times New Roman" w:cs="Times New Roman"/>
          <w:sz w:val="24"/>
          <w:szCs w:val="24"/>
        </w:rPr>
      </w:pPr>
      <w:r w:rsidRPr="00E03EC7">
        <w:rPr>
          <w:rFonts w:ascii="Times New Roman" w:hAnsi="Times New Roman" w:cs="Times New Roman"/>
          <w:sz w:val="24"/>
          <w:szCs w:val="24"/>
        </w:rPr>
        <w:t xml:space="preserve">The </w:t>
      </w:r>
      <w:r w:rsidR="003328B1" w:rsidRPr="00E03EC7">
        <w:rPr>
          <w:rFonts w:ascii="Times New Roman" w:hAnsi="Times New Roman" w:cs="Times New Roman"/>
          <w:i/>
          <w:sz w:val="24"/>
          <w:szCs w:val="24"/>
        </w:rPr>
        <w:t>Public Governance, Performance and Accountability Act 2013</w:t>
      </w:r>
      <w:r w:rsidR="003328B1" w:rsidRPr="00E03EC7">
        <w:rPr>
          <w:rFonts w:ascii="Times New Roman" w:hAnsi="Times New Roman" w:cs="Times New Roman"/>
          <w:sz w:val="24"/>
          <w:szCs w:val="24"/>
        </w:rPr>
        <w:t xml:space="preserve"> (PGPA Act)</w:t>
      </w:r>
      <w:r w:rsidR="00BB2253" w:rsidRPr="00E03EC7">
        <w:rPr>
          <w:rFonts w:ascii="Times New Roman" w:hAnsi="Times New Roman" w:cs="Times New Roman"/>
          <w:sz w:val="24"/>
          <w:szCs w:val="24"/>
        </w:rPr>
        <w:t xml:space="preserve"> </w:t>
      </w:r>
      <w:r w:rsidRPr="00E03EC7">
        <w:rPr>
          <w:rFonts w:ascii="Times New Roman" w:hAnsi="Times New Roman" w:cs="Times New Roman"/>
          <w:sz w:val="24"/>
          <w:szCs w:val="24"/>
        </w:rPr>
        <w:t>consolidates within one piece of legislation the governance, performance and accountability requirements of the Commonwealth. It sets out a regulatory framework for the Commonwealth management of public resources, and for the operation of Commonwealth entities and companies. The objects of the Act, set out in Section 5 are to:</w:t>
      </w:r>
    </w:p>
    <w:p w:rsidR="0087047B" w:rsidRPr="00E03EC7" w:rsidRDefault="0087047B" w:rsidP="00BB2253">
      <w:pPr>
        <w:spacing w:after="0"/>
        <w:rPr>
          <w:rFonts w:ascii="Times New Roman" w:hAnsi="Times New Roman" w:cs="Times New Roman"/>
          <w:sz w:val="24"/>
          <w:szCs w:val="24"/>
        </w:rPr>
      </w:pPr>
    </w:p>
    <w:p w:rsidR="00587237" w:rsidRPr="00E03EC7" w:rsidRDefault="00587237" w:rsidP="00E03EC7">
      <w:pPr>
        <w:pStyle w:val="indent"/>
        <w:spacing w:before="0" w:beforeAutospacing="0" w:after="0" w:afterAutospacing="0"/>
        <w:ind w:left="720"/>
      </w:pPr>
      <w:r w:rsidRPr="00E03EC7">
        <w:t>(a) to establish a coherent system of governance and accountability across Commonwealth entities; and</w:t>
      </w:r>
    </w:p>
    <w:p w:rsidR="00587237" w:rsidRPr="00E03EC7" w:rsidRDefault="00587237" w:rsidP="00E03EC7">
      <w:pPr>
        <w:pStyle w:val="indent"/>
        <w:spacing w:before="0" w:beforeAutospacing="0" w:after="0" w:afterAutospacing="0"/>
        <w:ind w:left="720"/>
      </w:pPr>
      <w:r w:rsidRPr="00E03EC7">
        <w:t>(b) to establish a performance framework across Commonwealth entities; and</w:t>
      </w:r>
    </w:p>
    <w:p w:rsidR="00587237" w:rsidRPr="00E03EC7" w:rsidRDefault="00587237" w:rsidP="00E03EC7">
      <w:pPr>
        <w:pStyle w:val="indent"/>
        <w:spacing w:before="0" w:beforeAutospacing="0" w:after="0" w:afterAutospacing="0"/>
        <w:ind w:left="720"/>
      </w:pPr>
      <w:r w:rsidRPr="00E03EC7">
        <w:t>(c) to require the Commonwealth and Commonwealth entities:</w:t>
      </w:r>
    </w:p>
    <w:p w:rsidR="00587237" w:rsidRPr="00E03EC7" w:rsidRDefault="00587237" w:rsidP="00E03EC7">
      <w:pPr>
        <w:pStyle w:val="indent2"/>
        <w:spacing w:before="0" w:beforeAutospacing="0" w:after="0" w:afterAutospacing="0"/>
        <w:ind w:left="1440"/>
      </w:pPr>
      <w:r w:rsidRPr="00E03EC7">
        <w:t>(i) to meet high standards of governance, performance and accountability; and</w:t>
      </w:r>
    </w:p>
    <w:p w:rsidR="00587237" w:rsidRPr="00E03EC7" w:rsidRDefault="00587237" w:rsidP="00E03EC7">
      <w:pPr>
        <w:pStyle w:val="indent2"/>
        <w:spacing w:before="0" w:beforeAutospacing="0" w:after="0" w:afterAutospacing="0"/>
        <w:ind w:left="1440"/>
      </w:pPr>
      <w:r w:rsidRPr="00E03EC7">
        <w:t>(ii) to provide meaningful information to the Parliament and the public; and</w:t>
      </w:r>
    </w:p>
    <w:p w:rsidR="00587237" w:rsidRPr="00E03EC7" w:rsidRDefault="00587237" w:rsidP="00E03EC7">
      <w:pPr>
        <w:pStyle w:val="indent2"/>
        <w:spacing w:before="0" w:beforeAutospacing="0" w:after="0" w:afterAutospacing="0"/>
        <w:ind w:left="1440"/>
      </w:pPr>
      <w:r w:rsidRPr="00E03EC7">
        <w:t>(iii) to use and manage public resources properly; and</w:t>
      </w:r>
    </w:p>
    <w:p w:rsidR="00587237" w:rsidRPr="00E03EC7" w:rsidRDefault="00587237" w:rsidP="00E03EC7">
      <w:pPr>
        <w:pStyle w:val="indent2"/>
        <w:spacing w:before="0" w:beforeAutospacing="0" w:after="0" w:afterAutospacing="0"/>
        <w:ind w:left="1440"/>
      </w:pPr>
      <w:r w:rsidRPr="00E03EC7">
        <w:t>(iv) to work cooperatively with others to achieve common objectives, where practicable; and</w:t>
      </w:r>
    </w:p>
    <w:p w:rsidR="00587237" w:rsidRPr="00E03EC7" w:rsidRDefault="00587237" w:rsidP="00E03EC7">
      <w:pPr>
        <w:pStyle w:val="indent"/>
        <w:spacing w:before="0" w:beforeAutospacing="0" w:after="0" w:afterAutospacing="0"/>
        <w:ind w:left="720"/>
      </w:pPr>
      <w:r w:rsidRPr="00E03EC7">
        <w:t>(d) to require Commonwealth companies to meet high standards of governance, performance and accountability.</w:t>
      </w:r>
    </w:p>
    <w:p w:rsidR="009812D8" w:rsidRPr="00E03EC7" w:rsidRDefault="009812D8" w:rsidP="003328B1">
      <w:pPr>
        <w:spacing w:before="120" w:after="120"/>
        <w:rPr>
          <w:rFonts w:ascii="Times New Roman" w:hAnsi="Times New Roman" w:cs="Times New Roman"/>
          <w:sz w:val="24"/>
          <w:szCs w:val="24"/>
        </w:rPr>
      </w:pPr>
      <w:r w:rsidRPr="00E03EC7">
        <w:rPr>
          <w:rFonts w:ascii="Times New Roman" w:hAnsi="Times New Roman" w:cs="Times New Roman"/>
          <w:sz w:val="24"/>
          <w:szCs w:val="24"/>
        </w:rPr>
        <w:t>Commonwealth entities (departments of state, executive agencies and statutory authorities established by the Parliament) are divided into two broad categories: n</w:t>
      </w:r>
      <w:r w:rsidR="007F34EB" w:rsidRPr="00E03EC7">
        <w:rPr>
          <w:rFonts w:ascii="Times New Roman" w:hAnsi="Times New Roman" w:cs="Times New Roman"/>
          <w:sz w:val="24"/>
          <w:szCs w:val="24"/>
        </w:rPr>
        <w:t>on–corporate and corporate. Non-corporate</w:t>
      </w:r>
      <w:r w:rsidRPr="00E03EC7">
        <w:rPr>
          <w:rFonts w:ascii="Times New Roman" w:hAnsi="Times New Roman" w:cs="Times New Roman"/>
          <w:sz w:val="24"/>
          <w:szCs w:val="24"/>
        </w:rPr>
        <w:t xml:space="preserve"> </w:t>
      </w:r>
      <w:r w:rsidR="007F34EB" w:rsidRPr="00E03EC7">
        <w:rPr>
          <w:rFonts w:ascii="Times New Roman" w:hAnsi="Times New Roman" w:cs="Times New Roman"/>
          <w:sz w:val="24"/>
          <w:szCs w:val="24"/>
        </w:rPr>
        <w:t>entities</w:t>
      </w:r>
      <w:r w:rsidRPr="00E03EC7">
        <w:rPr>
          <w:rFonts w:ascii="Times New Roman" w:hAnsi="Times New Roman" w:cs="Times New Roman"/>
          <w:sz w:val="24"/>
          <w:szCs w:val="24"/>
        </w:rPr>
        <w:t xml:space="preserve"> are legally part of the Commonwealth; corporate entities are legally separate from the Commonwealth, but are not companies, which form the third category of bodies within the framework. </w:t>
      </w:r>
    </w:p>
    <w:p w:rsidR="009812D8" w:rsidRPr="00E03EC7" w:rsidRDefault="009812D8" w:rsidP="003328B1">
      <w:pPr>
        <w:spacing w:before="120" w:after="120"/>
        <w:rPr>
          <w:rFonts w:ascii="Times New Roman" w:hAnsi="Times New Roman" w:cs="Times New Roman"/>
          <w:sz w:val="24"/>
          <w:szCs w:val="24"/>
        </w:rPr>
      </w:pPr>
      <w:r w:rsidRPr="00E03EC7">
        <w:rPr>
          <w:rFonts w:ascii="Times New Roman" w:hAnsi="Times New Roman" w:cs="Times New Roman"/>
          <w:sz w:val="24"/>
          <w:szCs w:val="24"/>
        </w:rPr>
        <w:t>In short</w:t>
      </w:r>
      <w:r w:rsidR="007F34EB" w:rsidRPr="00E03EC7">
        <w:rPr>
          <w:rFonts w:ascii="Times New Roman" w:hAnsi="Times New Roman" w:cs="Times New Roman"/>
          <w:sz w:val="24"/>
          <w:szCs w:val="24"/>
        </w:rPr>
        <w:t>,</w:t>
      </w:r>
      <w:r w:rsidRPr="00E03EC7">
        <w:rPr>
          <w:rFonts w:ascii="Times New Roman" w:hAnsi="Times New Roman" w:cs="Times New Roman"/>
          <w:sz w:val="24"/>
          <w:szCs w:val="24"/>
        </w:rPr>
        <w:t xml:space="preserve"> the financial and accountability controls placed on non-corporate Commonwealth entities are more detailed and intrusive tha</w:t>
      </w:r>
      <w:r w:rsidR="00862121">
        <w:rPr>
          <w:rFonts w:ascii="Times New Roman" w:hAnsi="Times New Roman" w:cs="Times New Roman"/>
          <w:sz w:val="24"/>
          <w:szCs w:val="24"/>
        </w:rPr>
        <w:t>n</w:t>
      </w:r>
      <w:r w:rsidRPr="00E03EC7">
        <w:rPr>
          <w:rFonts w:ascii="Times New Roman" w:hAnsi="Times New Roman" w:cs="Times New Roman"/>
          <w:sz w:val="24"/>
          <w:szCs w:val="24"/>
        </w:rPr>
        <w:t xml:space="preserve"> those place</w:t>
      </w:r>
      <w:r w:rsidR="00862121">
        <w:rPr>
          <w:rFonts w:ascii="Times New Roman" w:hAnsi="Times New Roman" w:cs="Times New Roman"/>
          <w:sz w:val="24"/>
          <w:szCs w:val="24"/>
        </w:rPr>
        <w:t>d</w:t>
      </w:r>
      <w:r w:rsidRPr="00E03EC7">
        <w:rPr>
          <w:rFonts w:ascii="Times New Roman" w:hAnsi="Times New Roman" w:cs="Times New Roman"/>
          <w:sz w:val="24"/>
          <w:szCs w:val="24"/>
        </w:rPr>
        <w:t xml:space="preserve"> on corporate Commonwealth entities, most of which have separate enabling legislation that provides a bespoke governance and accountability layer to their operations. </w:t>
      </w:r>
    </w:p>
    <w:p w:rsidR="009812D8" w:rsidRPr="00E03EC7" w:rsidRDefault="009812D8" w:rsidP="003328B1">
      <w:pPr>
        <w:rPr>
          <w:rFonts w:ascii="Times New Roman" w:hAnsi="Times New Roman" w:cs="Times New Roman"/>
          <w:sz w:val="24"/>
          <w:szCs w:val="24"/>
        </w:rPr>
      </w:pPr>
      <w:r w:rsidRPr="00E03EC7">
        <w:rPr>
          <w:rFonts w:ascii="Times New Roman" w:hAnsi="Times New Roman" w:cs="Times New Roman"/>
          <w:sz w:val="24"/>
          <w:szCs w:val="24"/>
        </w:rPr>
        <w:t>However, no matter whether a Commonwealth entity is non-corporate or corporate in its nature, there are particular requirements that go across both to bring cohesion to the operations of government. The key elements are:</w:t>
      </w:r>
    </w:p>
    <w:p w:rsidR="009812D8" w:rsidRPr="00E03EC7" w:rsidRDefault="009812D8" w:rsidP="003328B1">
      <w:pPr>
        <w:pStyle w:val="ListParagraph"/>
        <w:numPr>
          <w:ilvl w:val="0"/>
          <w:numId w:val="34"/>
        </w:numPr>
        <w:spacing w:after="160"/>
        <w:rPr>
          <w:rFonts w:ascii="Times New Roman" w:hAnsi="Times New Roman"/>
          <w:sz w:val="24"/>
          <w:szCs w:val="24"/>
        </w:rPr>
      </w:pPr>
      <w:r w:rsidRPr="00E03EC7">
        <w:rPr>
          <w:rFonts w:ascii="Times New Roman" w:hAnsi="Times New Roman"/>
          <w:sz w:val="24"/>
          <w:szCs w:val="24"/>
        </w:rPr>
        <w:t>A single definition for public resources that applies to all money and property held by Commonwealth entities and</w:t>
      </w:r>
      <w:r w:rsidR="007F34EB" w:rsidRPr="00E03EC7">
        <w:rPr>
          <w:rFonts w:ascii="Times New Roman" w:hAnsi="Times New Roman"/>
          <w:sz w:val="24"/>
          <w:szCs w:val="24"/>
        </w:rPr>
        <w:t xml:space="preserve"> a</w:t>
      </w:r>
      <w:r w:rsidRPr="00E03EC7">
        <w:rPr>
          <w:rFonts w:ascii="Times New Roman" w:hAnsi="Times New Roman"/>
          <w:sz w:val="24"/>
          <w:szCs w:val="24"/>
        </w:rPr>
        <w:t xml:space="preserve"> universal requirement that public resources must be used properly (efficiently, effectively, economically and ethically)</w:t>
      </w:r>
      <w:r w:rsidR="00862121">
        <w:rPr>
          <w:rFonts w:ascii="Times New Roman" w:hAnsi="Times New Roman"/>
          <w:sz w:val="24"/>
          <w:szCs w:val="24"/>
        </w:rPr>
        <w:t>;</w:t>
      </w:r>
    </w:p>
    <w:p w:rsidR="009812D8" w:rsidRPr="00E03EC7" w:rsidRDefault="009812D8" w:rsidP="003328B1">
      <w:pPr>
        <w:pStyle w:val="ListParagraph"/>
        <w:numPr>
          <w:ilvl w:val="0"/>
          <w:numId w:val="34"/>
        </w:numPr>
        <w:spacing w:after="160"/>
        <w:rPr>
          <w:rFonts w:ascii="Times New Roman" w:hAnsi="Times New Roman"/>
          <w:sz w:val="24"/>
          <w:szCs w:val="24"/>
        </w:rPr>
      </w:pPr>
      <w:r w:rsidRPr="00E03EC7">
        <w:rPr>
          <w:rFonts w:ascii="Times New Roman" w:hAnsi="Times New Roman"/>
          <w:sz w:val="24"/>
          <w:szCs w:val="24"/>
        </w:rPr>
        <w:t>A single concept of “official”, which applies to all person who are in or form part of an entity</w:t>
      </w:r>
      <w:r w:rsidR="00862121">
        <w:rPr>
          <w:rFonts w:ascii="Times New Roman" w:hAnsi="Times New Roman"/>
          <w:sz w:val="24"/>
          <w:szCs w:val="24"/>
        </w:rPr>
        <w:t>;</w:t>
      </w:r>
    </w:p>
    <w:p w:rsidR="009812D8" w:rsidRPr="00E03EC7" w:rsidRDefault="009812D8" w:rsidP="003328B1">
      <w:pPr>
        <w:pStyle w:val="ListParagraph"/>
        <w:numPr>
          <w:ilvl w:val="0"/>
          <w:numId w:val="34"/>
        </w:numPr>
        <w:spacing w:after="160"/>
        <w:rPr>
          <w:rFonts w:ascii="Times New Roman" w:hAnsi="Times New Roman"/>
          <w:sz w:val="24"/>
          <w:szCs w:val="24"/>
        </w:rPr>
      </w:pPr>
      <w:r w:rsidRPr="00E03EC7">
        <w:rPr>
          <w:rFonts w:ascii="Times New Roman" w:hAnsi="Times New Roman"/>
          <w:sz w:val="24"/>
          <w:szCs w:val="24"/>
        </w:rPr>
        <w:t xml:space="preserve">A uniform set of duties on all officials, which are based on the fiduciary duties in the </w:t>
      </w:r>
      <w:r w:rsidRPr="00E03EC7">
        <w:rPr>
          <w:rFonts w:ascii="Times New Roman" w:hAnsi="Times New Roman"/>
          <w:i/>
          <w:sz w:val="24"/>
          <w:szCs w:val="24"/>
        </w:rPr>
        <w:t>Corporations Act 2001</w:t>
      </w:r>
      <w:r w:rsidR="00862121">
        <w:rPr>
          <w:rFonts w:ascii="Times New Roman" w:hAnsi="Times New Roman"/>
          <w:i/>
          <w:sz w:val="24"/>
          <w:szCs w:val="24"/>
        </w:rPr>
        <w:t>;</w:t>
      </w:r>
    </w:p>
    <w:p w:rsidR="009812D8" w:rsidRPr="00E03EC7" w:rsidRDefault="009812D8" w:rsidP="003328B1">
      <w:pPr>
        <w:pStyle w:val="ListParagraph"/>
        <w:numPr>
          <w:ilvl w:val="0"/>
          <w:numId w:val="34"/>
        </w:numPr>
        <w:spacing w:after="160"/>
        <w:rPr>
          <w:rFonts w:ascii="Times New Roman" w:hAnsi="Times New Roman"/>
          <w:sz w:val="24"/>
          <w:szCs w:val="24"/>
        </w:rPr>
      </w:pPr>
      <w:r w:rsidRPr="00E03EC7">
        <w:rPr>
          <w:rFonts w:ascii="Times New Roman" w:hAnsi="Times New Roman"/>
          <w:sz w:val="24"/>
          <w:szCs w:val="24"/>
        </w:rPr>
        <w:t xml:space="preserve">A uniform set of additional duties </w:t>
      </w:r>
      <w:r w:rsidR="007F34EB" w:rsidRPr="00E03EC7">
        <w:rPr>
          <w:rFonts w:ascii="Times New Roman" w:hAnsi="Times New Roman"/>
          <w:sz w:val="24"/>
          <w:szCs w:val="24"/>
        </w:rPr>
        <w:t>reflect the</w:t>
      </w:r>
      <w:r w:rsidRPr="00E03EC7">
        <w:rPr>
          <w:rFonts w:ascii="Times New Roman" w:hAnsi="Times New Roman"/>
          <w:sz w:val="24"/>
          <w:szCs w:val="24"/>
        </w:rPr>
        <w:t xml:space="preserve"> governance responsibilities of accountable authorities of all Commonwealth entities</w:t>
      </w:r>
      <w:r w:rsidR="00862121">
        <w:rPr>
          <w:rFonts w:ascii="Times New Roman" w:hAnsi="Times New Roman"/>
          <w:sz w:val="24"/>
          <w:szCs w:val="24"/>
        </w:rPr>
        <w:t>; and</w:t>
      </w:r>
    </w:p>
    <w:p w:rsidR="009812D8" w:rsidRPr="00E03EC7" w:rsidRDefault="009812D8" w:rsidP="003328B1">
      <w:pPr>
        <w:pStyle w:val="ListParagraph"/>
        <w:numPr>
          <w:ilvl w:val="0"/>
          <w:numId w:val="34"/>
        </w:numPr>
        <w:spacing w:after="160"/>
        <w:rPr>
          <w:rFonts w:ascii="Times New Roman" w:hAnsi="Times New Roman"/>
          <w:sz w:val="24"/>
          <w:szCs w:val="24"/>
        </w:rPr>
      </w:pPr>
      <w:r w:rsidRPr="00E03EC7">
        <w:rPr>
          <w:rFonts w:ascii="Times New Roman" w:hAnsi="Times New Roman"/>
          <w:sz w:val="24"/>
          <w:szCs w:val="24"/>
        </w:rPr>
        <w:t>A common set of obligations on all entities in relation to planning and reporting on their performance</w:t>
      </w:r>
      <w:r w:rsidR="00862121">
        <w:rPr>
          <w:rFonts w:ascii="Times New Roman" w:hAnsi="Times New Roman"/>
          <w:sz w:val="24"/>
          <w:szCs w:val="24"/>
        </w:rPr>
        <w:t>.</w:t>
      </w:r>
    </w:p>
    <w:p w:rsidR="009812D8" w:rsidRPr="00E03EC7" w:rsidRDefault="009812D8" w:rsidP="003328B1">
      <w:pPr>
        <w:rPr>
          <w:rFonts w:ascii="Times New Roman" w:hAnsi="Times New Roman" w:cs="Times New Roman"/>
          <w:sz w:val="24"/>
          <w:szCs w:val="24"/>
        </w:rPr>
      </w:pPr>
      <w:r w:rsidRPr="00E03EC7">
        <w:rPr>
          <w:rFonts w:ascii="Times New Roman" w:hAnsi="Times New Roman" w:cs="Times New Roman"/>
          <w:sz w:val="24"/>
          <w:szCs w:val="24"/>
        </w:rPr>
        <w:t xml:space="preserve">Commonwealth companies are subject to the </w:t>
      </w:r>
      <w:r w:rsidRPr="00E03EC7">
        <w:rPr>
          <w:rFonts w:ascii="Times New Roman" w:hAnsi="Times New Roman" w:cs="Times New Roman"/>
          <w:i/>
          <w:sz w:val="24"/>
          <w:szCs w:val="24"/>
        </w:rPr>
        <w:t>Corporations Act 2001</w:t>
      </w:r>
      <w:r w:rsidRPr="00E03EC7">
        <w:rPr>
          <w:rFonts w:ascii="Times New Roman" w:hAnsi="Times New Roman" w:cs="Times New Roman"/>
          <w:sz w:val="24"/>
          <w:szCs w:val="24"/>
        </w:rPr>
        <w:t>, and the requirements that relate to them are dealt with in a separate chapter of the Act.</w:t>
      </w:r>
    </w:p>
    <w:p w:rsidR="0046725B" w:rsidRPr="00357BC2" w:rsidRDefault="009812D8" w:rsidP="003328B1">
      <w:pPr>
        <w:rPr>
          <w:rFonts w:ascii="Times New Roman" w:hAnsi="Times New Roman" w:cs="Times New Roman"/>
          <w:sz w:val="24"/>
          <w:szCs w:val="24"/>
        </w:rPr>
      </w:pPr>
      <w:r w:rsidRPr="00E03EC7">
        <w:rPr>
          <w:rFonts w:ascii="Times New Roman" w:hAnsi="Times New Roman" w:cs="Times New Roman"/>
          <w:sz w:val="24"/>
          <w:szCs w:val="24"/>
        </w:rPr>
        <w:t xml:space="preserve">Other legislation like the </w:t>
      </w:r>
      <w:r w:rsidRPr="00E03EC7">
        <w:rPr>
          <w:rFonts w:ascii="Times New Roman" w:hAnsi="Times New Roman" w:cs="Times New Roman"/>
          <w:i/>
          <w:sz w:val="24"/>
          <w:szCs w:val="24"/>
        </w:rPr>
        <w:t>Auditor-General Act 1997</w:t>
      </w:r>
      <w:r w:rsidRPr="00E03EC7">
        <w:rPr>
          <w:rFonts w:ascii="Times New Roman" w:hAnsi="Times New Roman" w:cs="Times New Roman"/>
          <w:sz w:val="24"/>
          <w:szCs w:val="24"/>
        </w:rPr>
        <w:t xml:space="preserve"> (Auditor-General Act), the </w:t>
      </w:r>
      <w:r w:rsidRPr="00E03EC7">
        <w:rPr>
          <w:rFonts w:ascii="Times New Roman" w:hAnsi="Times New Roman" w:cs="Times New Roman"/>
          <w:i/>
          <w:sz w:val="24"/>
          <w:szCs w:val="24"/>
        </w:rPr>
        <w:t>Public Service Act 1999</w:t>
      </w:r>
      <w:r w:rsidRPr="00E03EC7">
        <w:rPr>
          <w:rFonts w:ascii="Times New Roman" w:hAnsi="Times New Roman" w:cs="Times New Roman"/>
          <w:sz w:val="24"/>
          <w:szCs w:val="24"/>
        </w:rPr>
        <w:t xml:space="preserve"> (Public Service Act) and the enabling legislation for Commonwealth entities and companies of a statutory nature are to be read alongside the PGPA Act. For example, both the Auditor-General Act and the PGPA Act contain provisions that give powers to the Commonwealth Auditor-General. Both the PGPA Act and the Public Service Act impose duties on people, although the reach of the Public Service Act (which covers around 50</w:t>
      </w:r>
      <w:r w:rsidR="00862121">
        <w:rPr>
          <w:rFonts w:ascii="Times New Roman" w:hAnsi="Times New Roman" w:cs="Times New Roman"/>
          <w:sz w:val="24"/>
          <w:szCs w:val="24"/>
        </w:rPr>
        <w:t xml:space="preserve"> per cent</w:t>
      </w:r>
      <w:r w:rsidRPr="00E03EC7">
        <w:rPr>
          <w:rFonts w:ascii="Times New Roman" w:hAnsi="Times New Roman" w:cs="Times New Roman"/>
          <w:sz w:val="24"/>
          <w:szCs w:val="24"/>
        </w:rPr>
        <w:t xml:space="preserve"> of all Commonwealth officials) is narrower tha</w:t>
      </w:r>
      <w:r w:rsidR="00862121">
        <w:rPr>
          <w:rFonts w:ascii="Times New Roman" w:hAnsi="Times New Roman" w:cs="Times New Roman"/>
          <w:sz w:val="24"/>
          <w:szCs w:val="24"/>
        </w:rPr>
        <w:t>n</w:t>
      </w:r>
      <w:r w:rsidRPr="00E03EC7">
        <w:rPr>
          <w:rFonts w:ascii="Times New Roman" w:hAnsi="Times New Roman" w:cs="Times New Roman"/>
          <w:sz w:val="24"/>
          <w:szCs w:val="24"/>
        </w:rPr>
        <w:t xml:space="preserve"> the reach of the PGPA Act. The Public Service Act contains other elements that go to defining the unique nature of the Australian Public Service, including the APS Values, the appointment, roles and responsibilities of Secretaries, and the role of the Secretaries Board. </w:t>
      </w:r>
    </w:p>
    <w:sectPr w:rsidR="0046725B" w:rsidRPr="00357BC2" w:rsidSect="003D1A00">
      <w:pgSz w:w="11906" w:h="16838"/>
      <w:pgMar w:top="1440" w:right="1276" w:bottom="1440" w:left="1440" w:header="70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EB" w:rsidRDefault="00B540EB" w:rsidP="00E661EC">
      <w:pPr>
        <w:spacing w:after="0"/>
      </w:pPr>
      <w:r>
        <w:separator/>
      </w:r>
    </w:p>
  </w:endnote>
  <w:endnote w:type="continuationSeparator" w:id="0">
    <w:p w:rsidR="00B540EB" w:rsidRDefault="00B540EB" w:rsidP="00E661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44468"/>
      <w:docPartObj>
        <w:docPartGallery w:val="Page Numbers (Bottom of Page)"/>
        <w:docPartUnique/>
      </w:docPartObj>
    </w:sdtPr>
    <w:sdtEndPr>
      <w:rPr>
        <w:color w:val="7F7F7F" w:themeColor="background1" w:themeShade="7F"/>
        <w:spacing w:val="60"/>
      </w:rPr>
    </w:sdtEndPr>
    <w:sdtContent>
      <w:p w:rsidR="007E5F24" w:rsidRDefault="007E5F2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6FC2">
          <w:rPr>
            <w:noProof/>
          </w:rPr>
          <w:t>6</w:t>
        </w:r>
        <w:r>
          <w:rPr>
            <w:noProof/>
          </w:rPr>
          <w:fldChar w:fldCharType="end"/>
        </w:r>
        <w:r>
          <w:t xml:space="preserve"> | </w:t>
        </w:r>
        <w:r>
          <w:rPr>
            <w:color w:val="7F7F7F" w:themeColor="background1" w:themeShade="7F"/>
            <w:spacing w:val="60"/>
          </w:rPr>
          <w:t>Page</w:t>
        </w:r>
      </w:p>
    </w:sdtContent>
  </w:sdt>
  <w:p w:rsidR="007E5F24" w:rsidRDefault="007E5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708852"/>
      <w:docPartObj>
        <w:docPartGallery w:val="Page Numbers (Bottom of Page)"/>
        <w:docPartUnique/>
      </w:docPartObj>
    </w:sdtPr>
    <w:sdtEndPr>
      <w:rPr>
        <w:color w:val="7F7F7F" w:themeColor="background1" w:themeShade="7F"/>
        <w:spacing w:val="60"/>
      </w:rPr>
    </w:sdtEndPr>
    <w:sdtContent>
      <w:p w:rsidR="007E5F24" w:rsidRDefault="007E5F2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6FC2">
          <w:rPr>
            <w:noProof/>
          </w:rPr>
          <w:t>1</w:t>
        </w:r>
        <w:r>
          <w:rPr>
            <w:noProof/>
          </w:rPr>
          <w:fldChar w:fldCharType="end"/>
        </w:r>
        <w:r>
          <w:t xml:space="preserve"> | </w:t>
        </w:r>
        <w:r>
          <w:rPr>
            <w:color w:val="7F7F7F" w:themeColor="background1" w:themeShade="7F"/>
            <w:spacing w:val="60"/>
          </w:rPr>
          <w:t>Page</w:t>
        </w:r>
      </w:p>
    </w:sdtContent>
  </w:sdt>
  <w:p w:rsidR="007E5F24" w:rsidRDefault="007E5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EB" w:rsidRDefault="00B540EB" w:rsidP="00E661EC">
      <w:pPr>
        <w:spacing w:after="0"/>
      </w:pPr>
      <w:r>
        <w:separator/>
      </w:r>
    </w:p>
  </w:footnote>
  <w:footnote w:type="continuationSeparator" w:id="0">
    <w:p w:rsidR="00B540EB" w:rsidRDefault="00B540EB" w:rsidP="00E661EC">
      <w:pPr>
        <w:spacing w:after="0"/>
      </w:pPr>
      <w:r>
        <w:continuationSeparator/>
      </w:r>
    </w:p>
  </w:footnote>
  <w:footnote w:id="1">
    <w:p w:rsidR="000D6B34" w:rsidRDefault="000D6B34" w:rsidP="000D6B34">
      <w:pPr>
        <w:pStyle w:val="FootnoteText"/>
      </w:pPr>
      <w:r>
        <w:rPr>
          <w:rStyle w:val="FootnoteReference"/>
        </w:rPr>
        <w:footnoteRef/>
      </w:r>
      <w:r>
        <w:t xml:space="preserve"> </w:t>
      </w:r>
      <w:r w:rsidRPr="004832AB">
        <w:rPr>
          <w:rFonts w:ascii="Times New Roman" w:hAnsi="Times New Roman"/>
        </w:rPr>
        <w:t xml:space="preserve">Australian National Audit Office Report No.6 of 2016-17: </w:t>
      </w:r>
      <w:hyperlink r:id="rId1" w:history="1">
        <w:r w:rsidRPr="004832AB">
          <w:rPr>
            <w:rStyle w:val="Hyperlink"/>
            <w:rFonts w:ascii="Times New Roman" w:hAnsi="Times New Roman"/>
          </w:rPr>
          <w:t>Corporate Planning in the Australian Public Sector</w:t>
        </w:r>
      </w:hyperlink>
      <w:r w:rsidRPr="004832AB">
        <w:rPr>
          <w:rFonts w:ascii="Times New Roman" w:hAnsi="Times New Roman"/>
        </w:rPr>
        <w:t>, 31 August 2016</w:t>
      </w:r>
      <w:r>
        <w:rPr>
          <w:rFonts w:ascii="Times New Roman" w:hAnsi="Times New Roman"/>
        </w:rPr>
        <w:t>.</w:t>
      </w:r>
    </w:p>
  </w:footnote>
  <w:footnote w:id="2">
    <w:p w:rsidR="00596392" w:rsidRPr="00460A40" w:rsidRDefault="00596392" w:rsidP="00596392">
      <w:pPr>
        <w:pStyle w:val="FootnoteText"/>
        <w:rPr>
          <w:rFonts w:ascii="Times New Roman" w:hAnsi="Times New Roman"/>
        </w:rPr>
      </w:pPr>
      <w:r>
        <w:rPr>
          <w:rStyle w:val="FootnoteReference"/>
        </w:rPr>
        <w:footnoteRef/>
      </w:r>
      <w:r>
        <w:t xml:space="preserve"> </w:t>
      </w:r>
      <w:r w:rsidRPr="00460A40">
        <w:rPr>
          <w:rFonts w:ascii="Times New Roman" w:hAnsi="Times New Roman"/>
        </w:rPr>
        <w:t>Ms Barbara Belcher,</w:t>
      </w:r>
      <w:r>
        <w:t xml:space="preserve"> </w:t>
      </w:r>
      <w:r w:rsidRPr="00460A40">
        <w:rPr>
          <w:rFonts w:ascii="Times New Roman" w:hAnsi="Times New Roman"/>
        </w:rPr>
        <w:t xml:space="preserve">The </w:t>
      </w:r>
      <w:r w:rsidR="00862121">
        <w:rPr>
          <w:rFonts w:ascii="Times New Roman" w:hAnsi="Times New Roman"/>
        </w:rPr>
        <w:t>I</w:t>
      </w:r>
      <w:r w:rsidRPr="00460A40">
        <w:rPr>
          <w:rFonts w:ascii="Times New Roman" w:hAnsi="Times New Roman"/>
        </w:rPr>
        <w:t>ndependent Review of Whole-of-Government Internal Regulation (</w:t>
      </w:r>
      <w:hyperlink r:id="rId2" w:history="1">
        <w:r w:rsidRPr="00460A40">
          <w:rPr>
            <w:rStyle w:val="Hyperlink"/>
            <w:rFonts w:ascii="Times New Roman" w:hAnsi="Times New Roman"/>
          </w:rPr>
          <w:t>Belcher Red Tape Review</w:t>
        </w:r>
      </w:hyperlink>
      <w:r w:rsidRPr="00460A40">
        <w:rPr>
          <w:rFonts w:ascii="Times New Roman" w:hAnsi="Times New Roman"/>
        </w:rPr>
        <w:t xml:space="preserve">), </w:t>
      </w:r>
      <w:r>
        <w:rPr>
          <w:rFonts w:ascii="Times New Roman" w:hAnsi="Times New Roman"/>
        </w:rPr>
        <w:t>August 2015.</w:t>
      </w:r>
    </w:p>
  </w:footnote>
  <w:footnote w:id="3">
    <w:p w:rsidR="007E5F24" w:rsidRDefault="007E5F24" w:rsidP="006473CB">
      <w:pPr>
        <w:pStyle w:val="FootnoteText"/>
      </w:pPr>
      <w:r>
        <w:rPr>
          <w:rStyle w:val="FootnoteReference"/>
        </w:rPr>
        <w:footnoteRef/>
      </w:r>
      <w:r>
        <w:t xml:space="preserve"> </w:t>
      </w:r>
      <w:r w:rsidRPr="00384963">
        <w:rPr>
          <w:rFonts w:ascii="Times New Roman" w:hAnsi="Times New Roman"/>
          <w:sz w:val="18"/>
          <w:szCs w:val="18"/>
        </w:rPr>
        <w:t>See for example: section 5(c)(iv) PGPA Act, section 17 PGPA Act and section 18 PGPA Act.</w:t>
      </w:r>
    </w:p>
  </w:footnote>
  <w:footnote w:id="4">
    <w:p w:rsidR="007E5F24" w:rsidRDefault="007E5F24" w:rsidP="006473CB">
      <w:pPr>
        <w:pStyle w:val="FootnoteText"/>
      </w:pPr>
      <w:r>
        <w:rPr>
          <w:rStyle w:val="FootnoteReference"/>
        </w:rPr>
        <w:footnoteRef/>
      </w:r>
      <w:r>
        <w:t xml:space="preserve"> </w:t>
      </w:r>
      <w:r w:rsidRPr="00384963">
        <w:rPr>
          <w:rFonts w:ascii="Times New Roman" w:hAnsi="Times New Roman"/>
          <w:sz w:val="18"/>
          <w:szCs w:val="18"/>
        </w:rPr>
        <w:t xml:space="preserve">The previous legislative underpinnings of the resource management framework – the </w:t>
      </w:r>
      <w:r w:rsidRPr="00384963">
        <w:rPr>
          <w:rFonts w:ascii="Times New Roman" w:hAnsi="Times New Roman"/>
          <w:i/>
          <w:sz w:val="18"/>
          <w:szCs w:val="18"/>
        </w:rPr>
        <w:t>Financial Management and Accountability Act 1997</w:t>
      </w:r>
      <w:r w:rsidRPr="00384963">
        <w:rPr>
          <w:rFonts w:ascii="Times New Roman" w:hAnsi="Times New Roman"/>
          <w:sz w:val="18"/>
          <w:szCs w:val="18"/>
        </w:rPr>
        <w:t xml:space="preserve"> and the </w:t>
      </w:r>
      <w:r w:rsidRPr="00384963">
        <w:rPr>
          <w:rFonts w:ascii="Times New Roman" w:hAnsi="Times New Roman"/>
          <w:i/>
          <w:sz w:val="18"/>
          <w:szCs w:val="18"/>
        </w:rPr>
        <w:t>Commonwealth Authorities and Companies Act 1997</w:t>
      </w:r>
      <w:r w:rsidRPr="00384963">
        <w:rPr>
          <w:rFonts w:ascii="Times New Roman" w:hAnsi="Times New Roman"/>
          <w:sz w:val="18"/>
          <w:szCs w:val="18"/>
        </w:rPr>
        <w:t xml:space="preserve"> – both focused on a ‘siloed’, entity specific approach to management with little regard for the Commonwealth as a whole or cooperation with others.</w:t>
      </w:r>
    </w:p>
  </w:footnote>
  <w:footnote w:id="5">
    <w:p w:rsidR="007E5F24" w:rsidRDefault="007E5F24" w:rsidP="004A068E">
      <w:pPr>
        <w:pStyle w:val="FootnoteText"/>
      </w:pPr>
      <w:r>
        <w:rPr>
          <w:rStyle w:val="FootnoteReference"/>
        </w:rPr>
        <w:footnoteRef/>
      </w:r>
      <w:r>
        <w:t xml:space="preserve"> </w:t>
      </w:r>
      <w:r w:rsidRPr="00384963">
        <w:rPr>
          <w:rFonts w:ascii="Times New Roman" w:hAnsi="Times New Roman"/>
          <w:sz w:val="18"/>
          <w:szCs w:val="18"/>
        </w:rPr>
        <w:t xml:space="preserve">This guidance is available on the Finance website: </w:t>
      </w:r>
      <w:hyperlink r:id="rId3" w:history="1">
        <w:r w:rsidRPr="00384963">
          <w:rPr>
            <w:rStyle w:val="Hyperlink"/>
            <w:rFonts w:ascii="Times New Roman" w:hAnsi="Times New Roman"/>
            <w:sz w:val="18"/>
            <w:szCs w:val="18"/>
          </w:rPr>
          <w:t>www.finance.gov.au</w:t>
        </w:r>
      </w:hyperlink>
      <w:r w:rsidRPr="00384963">
        <w:rPr>
          <w:rFonts w:ascii="Times New Roman" w:hAnsi="Times New Roman"/>
          <w:sz w:val="18"/>
          <w:szCs w:val="18"/>
        </w:rPr>
        <w:t>. Amongst various guidance materials available the “Resource Management Guide” or “RMG” series covers the largest range of topics.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24" w:rsidRDefault="007E5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33DC"/>
    <w:lvl w:ilvl="0">
      <w:start w:val="1"/>
      <w:numFmt w:val="bullet"/>
      <w:pStyle w:val="ListBullet"/>
      <w:lvlText w:val=""/>
      <w:lvlJc w:val="left"/>
      <w:pPr>
        <w:ind w:left="360" w:hanging="360"/>
      </w:pPr>
      <w:rPr>
        <w:rFonts w:ascii="Symbol" w:hAnsi="Symbol" w:hint="default"/>
        <w:color w:val="auto"/>
        <w:sz w:val="24"/>
        <w:szCs w:val="22"/>
      </w:rPr>
    </w:lvl>
  </w:abstractNum>
  <w:abstractNum w:abstractNumId="1" w15:restartNumberingAfterBreak="0">
    <w:nsid w:val="00CA78FA"/>
    <w:multiLevelType w:val="hybridMultilevel"/>
    <w:tmpl w:val="B9661FCA"/>
    <w:lvl w:ilvl="0" w:tplc="FD425C50">
      <w:start w:val="1"/>
      <w:numFmt w:val="decimal"/>
      <w:pStyle w:val="Style5"/>
      <w:lvlText w:val="%1."/>
      <w:lvlJc w:val="left"/>
      <w:pPr>
        <w:tabs>
          <w:tab w:val="num" w:pos="1920"/>
        </w:tabs>
        <w:ind w:left="1920" w:hanging="360"/>
      </w:pPr>
      <w:rPr>
        <w:rFonts w:cs="Times New Roman" w:hint="default"/>
        <w:b w:val="0"/>
        <w:i w:val="0"/>
        <w:color w:val="auto"/>
        <w:sz w:val="22"/>
        <w:szCs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1CC19E1"/>
    <w:multiLevelType w:val="hybridMultilevel"/>
    <w:tmpl w:val="0974EE2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20B1752"/>
    <w:multiLevelType w:val="hybridMultilevel"/>
    <w:tmpl w:val="C8E82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6924DDB"/>
    <w:multiLevelType w:val="multilevel"/>
    <w:tmpl w:val="FAB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25738"/>
    <w:multiLevelType w:val="hybridMultilevel"/>
    <w:tmpl w:val="856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B4660E"/>
    <w:multiLevelType w:val="hybridMultilevel"/>
    <w:tmpl w:val="E9FA9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CD3A4E"/>
    <w:multiLevelType w:val="hybridMultilevel"/>
    <w:tmpl w:val="DC309A0A"/>
    <w:lvl w:ilvl="0" w:tplc="0C090001">
      <w:start w:val="1"/>
      <w:numFmt w:val="bullet"/>
      <w:lvlText w:val=""/>
      <w:lvlJc w:val="left"/>
      <w:pPr>
        <w:ind w:left="720" w:hanging="360"/>
      </w:pPr>
      <w:rPr>
        <w:rFonts w:ascii="Symbol" w:hAnsi="Symbol" w:hint="default"/>
      </w:rPr>
    </w:lvl>
    <w:lvl w:ilvl="1" w:tplc="119C06BC">
      <w:start w:val="1"/>
      <w:numFmt w:val="lowerRoman"/>
      <w:lvlText w:val="(%2)"/>
      <w:lvlJc w:val="left"/>
      <w:pPr>
        <w:ind w:left="1440" w:hanging="360"/>
      </w:pPr>
      <w:rPr>
        <w:rFonts w:hint="default"/>
      </w:rPr>
    </w:lvl>
    <w:lvl w:ilvl="2" w:tplc="119C06BC">
      <w:start w:val="1"/>
      <w:numFmt w:val="lowerRoman"/>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26C45"/>
    <w:multiLevelType w:val="hybridMultilevel"/>
    <w:tmpl w:val="B19A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20868"/>
    <w:multiLevelType w:val="hybridMultilevel"/>
    <w:tmpl w:val="E4285C96"/>
    <w:lvl w:ilvl="0" w:tplc="5F166A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C256B3"/>
    <w:multiLevelType w:val="hybridMultilevel"/>
    <w:tmpl w:val="B6A08C2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26A539E8"/>
    <w:multiLevelType w:val="hybridMultilevel"/>
    <w:tmpl w:val="9690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214C9"/>
    <w:multiLevelType w:val="multilevel"/>
    <w:tmpl w:val="5DF84B70"/>
    <w:styleLink w:val="Bullets"/>
    <w:lvl w:ilvl="0">
      <w:start w:val="1"/>
      <w:numFmt w:val="bullet"/>
      <w:pStyle w:val="Bullets1stindent"/>
      <w:lvlText w:val=""/>
      <w:lvlJc w:val="left"/>
      <w:pPr>
        <w:ind w:left="360" w:hanging="360"/>
      </w:pPr>
      <w:rPr>
        <w:rFonts w:ascii="Symbol" w:hAnsi="Symbol" w:hint="default"/>
        <w:color w:val="615800"/>
      </w:rPr>
    </w:lvl>
    <w:lvl w:ilvl="1">
      <w:start w:val="1"/>
      <w:numFmt w:val="bullet"/>
      <w:pStyle w:val="Bullets2ndindent"/>
      <w:lvlText w:val=""/>
      <w:lvlJc w:val="left"/>
      <w:pPr>
        <w:tabs>
          <w:tab w:val="num" w:pos="567"/>
        </w:tabs>
        <w:ind w:left="567" w:hanging="283"/>
      </w:pPr>
      <w:rPr>
        <w:rFonts w:ascii="Symbol" w:hAnsi="Symbol" w:hint="default"/>
        <w:color w:val="6158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9F67EE2"/>
    <w:multiLevelType w:val="hybridMultilevel"/>
    <w:tmpl w:val="0EDEB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353FD"/>
    <w:multiLevelType w:val="hybridMultilevel"/>
    <w:tmpl w:val="AFBA00D6"/>
    <w:lvl w:ilvl="0" w:tplc="6FD48636">
      <w:start w:val="2"/>
      <w:numFmt w:val="decimal"/>
      <w:pStyle w:val="NumberedParagraph"/>
      <w:lvlText w:val="%1."/>
      <w:lvlJc w:val="left"/>
      <w:pPr>
        <w:tabs>
          <w:tab w:val="num" w:pos="680"/>
        </w:tabs>
        <w:ind w:left="680" w:hanging="680"/>
      </w:pPr>
      <w:rPr>
        <w:rFonts w:ascii="Times New Roman" w:hAnsi="Times New Roman"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15:restartNumberingAfterBreak="0">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6" w15:restartNumberingAfterBreak="0">
    <w:nsid w:val="33F87DE7"/>
    <w:multiLevelType w:val="hybridMultilevel"/>
    <w:tmpl w:val="9D068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C33BC6"/>
    <w:multiLevelType w:val="multilevel"/>
    <w:tmpl w:val="C1709908"/>
    <w:lvl w:ilvl="0">
      <w:start w:val="1"/>
      <w:numFmt w:val="decimal"/>
      <w:pStyle w:val="Norm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211BE0"/>
    <w:multiLevelType w:val="hybridMultilevel"/>
    <w:tmpl w:val="27B8002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3A627770"/>
    <w:multiLevelType w:val="hybridMultilevel"/>
    <w:tmpl w:val="A2B47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597762F"/>
    <w:multiLevelType w:val="multilevel"/>
    <w:tmpl w:val="5008D1A6"/>
    <w:lvl w:ilvl="0">
      <w:start w:val="1"/>
      <w:numFmt w:val="decimal"/>
      <w:lvlText w:val="%1."/>
      <w:lvlJc w:val="left"/>
      <w:pPr>
        <w:tabs>
          <w:tab w:val="num" w:pos="1560"/>
        </w:tabs>
        <w:ind w:left="1560" w:hanging="360"/>
      </w:pPr>
    </w:lvl>
    <w:lvl w:ilvl="1" w:tentative="1">
      <w:start w:val="1"/>
      <w:numFmt w:val="decimal"/>
      <w:lvlText w:val="%2."/>
      <w:lvlJc w:val="left"/>
      <w:pPr>
        <w:tabs>
          <w:tab w:val="num" w:pos="2280"/>
        </w:tabs>
        <w:ind w:left="2280" w:hanging="360"/>
      </w:pPr>
    </w:lvl>
    <w:lvl w:ilvl="2" w:tentative="1">
      <w:start w:val="1"/>
      <w:numFmt w:val="decimal"/>
      <w:lvlText w:val="%3."/>
      <w:lvlJc w:val="left"/>
      <w:pPr>
        <w:tabs>
          <w:tab w:val="num" w:pos="3000"/>
        </w:tabs>
        <w:ind w:left="3000" w:hanging="360"/>
      </w:pPr>
    </w:lvl>
    <w:lvl w:ilvl="3" w:tentative="1">
      <w:start w:val="1"/>
      <w:numFmt w:val="decimal"/>
      <w:lvlText w:val="%4."/>
      <w:lvlJc w:val="left"/>
      <w:pPr>
        <w:tabs>
          <w:tab w:val="num" w:pos="3720"/>
        </w:tabs>
        <w:ind w:left="3720" w:hanging="360"/>
      </w:pPr>
    </w:lvl>
    <w:lvl w:ilvl="4" w:tentative="1">
      <w:start w:val="1"/>
      <w:numFmt w:val="decimal"/>
      <w:lvlText w:val="%5."/>
      <w:lvlJc w:val="left"/>
      <w:pPr>
        <w:tabs>
          <w:tab w:val="num" w:pos="4440"/>
        </w:tabs>
        <w:ind w:left="4440" w:hanging="360"/>
      </w:pPr>
    </w:lvl>
    <w:lvl w:ilvl="5" w:tentative="1">
      <w:start w:val="1"/>
      <w:numFmt w:val="decimal"/>
      <w:lvlText w:val="%6."/>
      <w:lvlJc w:val="left"/>
      <w:pPr>
        <w:tabs>
          <w:tab w:val="num" w:pos="5160"/>
        </w:tabs>
        <w:ind w:left="5160" w:hanging="360"/>
      </w:pPr>
    </w:lvl>
    <w:lvl w:ilvl="6" w:tentative="1">
      <w:start w:val="1"/>
      <w:numFmt w:val="decimal"/>
      <w:lvlText w:val="%7."/>
      <w:lvlJc w:val="left"/>
      <w:pPr>
        <w:tabs>
          <w:tab w:val="num" w:pos="5880"/>
        </w:tabs>
        <w:ind w:left="5880" w:hanging="360"/>
      </w:pPr>
    </w:lvl>
    <w:lvl w:ilvl="7" w:tentative="1">
      <w:start w:val="1"/>
      <w:numFmt w:val="decimal"/>
      <w:lvlText w:val="%8."/>
      <w:lvlJc w:val="left"/>
      <w:pPr>
        <w:tabs>
          <w:tab w:val="num" w:pos="6600"/>
        </w:tabs>
        <w:ind w:left="6600" w:hanging="360"/>
      </w:pPr>
    </w:lvl>
    <w:lvl w:ilvl="8" w:tentative="1">
      <w:start w:val="1"/>
      <w:numFmt w:val="decimal"/>
      <w:lvlText w:val="%9."/>
      <w:lvlJc w:val="left"/>
      <w:pPr>
        <w:tabs>
          <w:tab w:val="num" w:pos="7320"/>
        </w:tabs>
        <w:ind w:left="7320" w:hanging="360"/>
      </w:pPr>
    </w:lvl>
  </w:abstractNum>
  <w:abstractNum w:abstractNumId="21" w15:restartNumberingAfterBreak="0">
    <w:nsid w:val="4921355B"/>
    <w:multiLevelType w:val="hybridMultilevel"/>
    <w:tmpl w:val="2A183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15874"/>
    <w:multiLevelType w:val="hybridMultilevel"/>
    <w:tmpl w:val="715EB460"/>
    <w:lvl w:ilvl="0" w:tplc="77CA13C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7C30EC2"/>
    <w:multiLevelType w:val="multilevel"/>
    <w:tmpl w:val="2D4ABC8A"/>
    <w:name w:val="Legal"/>
    <w:lvl w:ilvl="0">
      <w:start w:val="1"/>
      <w:numFmt w:val="decimal"/>
      <w:isLgl/>
      <w:lvlText w:val="%1."/>
      <w:lvlJc w:val="left"/>
      <w:pPr>
        <w:tabs>
          <w:tab w:val="num" w:pos="567"/>
        </w:tabs>
        <w:ind w:left="567" w:hanging="567"/>
      </w:pPr>
    </w:lvl>
    <w:lvl w:ilvl="1">
      <w:start w:val="1"/>
      <w:numFmt w:val="decimal"/>
      <w:isLgl/>
      <w:lvlText w:val="%1.%2."/>
      <w:lvlJc w:val="left"/>
      <w:pPr>
        <w:tabs>
          <w:tab w:val="num" w:pos="1134"/>
        </w:tabs>
        <w:ind w:left="1134" w:hanging="774"/>
      </w:pPr>
    </w:lvl>
    <w:lvl w:ilvl="2">
      <w:start w:val="1"/>
      <w:numFmt w:val="decimal"/>
      <w:isLgl/>
      <w:lvlText w:val="%1.%2.%3."/>
      <w:lvlJc w:val="left"/>
      <w:pPr>
        <w:tabs>
          <w:tab w:val="num" w:pos="1701"/>
        </w:tabs>
        <w:ind w:left="1701" w:hanging="981"/>
      </w:pPr>
    </w:lvl>
    <w:lvl w:ilvl="3">
      <w:start w:val="1"/>
      <w:numFmt w:val="decimal"/>
      <w:isLgl/>
      <w:lvlText w:val="%1.%2.%3.%4."/>
      <w:lvlJc w:val="left"/>
      <w:pPr>
        <w:tabs>
          <w:tab w:val="num" w:pos="1800"/>
        </w:tabs>
        <w:ind w:left="1729" w:hanging="649"/>
      </w:pPr>
    </w:lvl>
    <w:lvl w:ilvl="4">
      <w:start w:val="1"/>
      <w:numFmt w:val="decimal"/>
      <w:isLgl/>
      <w:lvlText w:val="%1.%2.%3.%4.%5."/>
      <w:lvlJc w:val="left"/>
      <w:pPr>
        <w:tabs>
          <w:tab w:val="num" w:pos="2520"/>
        </w:tabs>
        <w:ind w:left="2234" w:hanging="794"/>
      </w:pPr>
    </w:lvl>
    <w:lvl w:ilvl="5">
      <w:start w:val="1"/>
      <w:numFmt w:val="decimal"/>
      <w:isLgl/>
      <w:lvlText w:val="%1.%2.%3.%4.%5.%6."/>
      <w:lvlJc w:val="left"/>
      <w:pPr>
        <w:tabs>
          <w:tab w:val="num" w:pos="2880"/>
        </w:tabs>
        <w:ind w:left="2739" w:hanging="939"/>
      </w:pPr>
    </w:lvl>
    <w:lvl w:ilvl="6">
      <w:start w:val="1"/>
      <w:numFmt w:val="decimal"/>
      <w:isLgl/>
      <w:lvlText w:val="%1.%2.%3.%4.%5.%6.%7."/>
      <w:lvlJc w:val="left"/>
      <w:pPr>
        <w:tabs>
          <w:tab w:val="num" w:pos="3600"/>
        </w:tabs>
        <w:ind w:left="3238" w:hanging="1078"/>
      </w:pPr>
    </w:lvl>
    <w:lvl w:ilvl="7">
      <w:start w:val="1"/>
      <w:numFmt w:val="decimal"/>
      <w:isLgl/>
      <w:lvlText w:val="%1.%2.%3.%4.%5.%6.%7.%8."/>
      <w:lvlJc w:val="left"/>
      <w:pPr>
        <w:tabs>
          <w:tab w:val="num" w:pos="3960"/>
        </w:tabs>
        <w:ind w:left="3742" w:hanging="1222"/>
      </w:pPr>
    </w:lvl>
    <w:lvl w:ilvl="8">
      <w:start w:val="1"/>
      <w:numFmt w:val="decimal"/>
      <w:isLgl/>
      <w:lvlText w:val="%1.%2.%3.%4.%5.%6.%7.%8.%9."/>
      <w:lvlJc w:val="left"/>
      <w:pPr>
        <w:tabs>
          <w:tab w:val="num" w:pos="4680"/>
        </w:tabs>
        <w:ind w:left="4321" w:hanging="1441"/>
      </w:pPr>
    </w:lvl>
  </w:abstractNum>
  <w:abstractNum w:abstractNumId="24" w15:restartNumberingAfterBreak="0">
    <w:nsid w:val="57E41753"/>
    <w:multiLevelType w:val="hybridMultilevel"/>
    <w:tmpl w:val="93D617CC"/>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08574E"/>
    <w:multiLevelType w:val="hybridMultilevel"/>
    <w:tmpl w:val="D1CE863C"/>
    <w:lvl w:ilvl="0" w:tplc="0FC2FAFA">
      <w:numFmt w:val="bullet"/>
      <w:lvlText w:val="•"/>
      <w:lvlJc w:val="left"/>
      <w:pPr>
        <w:ind w:left="1080" w:hanging="360"/>
      </w:pPr>
      <w:rPr>
        <w:rFonts w:ascii="Calibri" w:eastAsiaTheme="minorHAnsi" w:hAnsi="Calibri" w:cstheme="minorBidi"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95022F6"/>
    <w:multiLevelType w:val="hybridMultilevel"/>
    <w:tmpl w:val="63402AF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342556"/>
    <w:multiLevelType w:val="hybridMultilevel"/>
    <w:tmpl w:val="0BA04AE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61D149E8"/>
    <w:multiLevelType w:val="hybridMultilevel"/>
    <w:tmpl w:val="9BCED82E"/>
    <w:lvl w:ilvl="0" w:tplc="18B8C55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826488"/>
    <w:multiLevelType w:val="hybridMultilevel"/>
    <w:tmpl w:val="FD78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773ED"/>
    <w:multiLevelType w:val="hybridMultilevel"/>
    <w:tmpl w:val="2EE0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2530E4"/>
    <w:multiLevelType w:val="hybridMultilevel"/>
    <w:tmpl w:val="A5A65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D4272C"/>
    <w:multiLevelType w:val="hybridMultilevel"/>
    <w:tmpl w:val="0B3A1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E1202F"/>
    <w:multiLevelType w:val="hybridMultilevel"/>
    <w:tmpl w:val="E2FA4510"/>
    <w:lvl w:ilvl="0" w:tplc="0C090001">
      <w:start w:val="1"/>
      <w:numFmt w:val="bullet"/>
      <w:lvlText w:val=""/>
      <w:lvlJc w:val="left"/>
      <w:pPr>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6AEF0FE8"/>
    <w:multiLevelType w:val="hybridMultilevel"/>
    <w:tmpl w:val="A66AC038"/>
    <w:lvl w:ilvl="0" w:tplc="986A8496">
      <w:start w:val="1"/>
      <w:numFmt w:val="decimal"/>
      <w:lvlText w:val="%1."/>
      <w:lvlJc w:val="left"/>
      <w:pPr>
        <w:ind w:left="360" w:hanging="360"/>
      </w:pPr>
      <w:rPr>
        <w:rFonts w:ascii="Times New Roman" w:hAnsi="Times New Roman" w:cs="Times New Roman" w:hint="default"/>
        <w:b w:val="0"/>
        <w:i w:val="0"/>
        <w:dstrike w:val="0"/>
        <w:color w:val="auto"/>
        <w:sz w:val="24"/>
        <w:szCs w:val="24"/>
      </w:rPr>
    </w:lvl>
    <w:lvl w:ilvl="1" w:tplc="0C090001">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5" w15:restartNumberingAfterBreak="0">
    <w:nsid w:val="72520CCA"/>
    <w:multiLevelType w:val="hybridMultilevel"/>
    <w:tmpl w:val="91B0B5BA"/>
    <w:lvl w:ilvl="0" w:tplc="0C090001">
      <w:start w:val="1"/>
      <w:numFmt w:val="bullet"/>
      <w:lvlText w:val=""/>
      <w:lvlJc w:val="left"/>
      <w:pPr>
        <w:ind w:left="720" w:hanging="360"/>
      </w:pPr>
      <w:rPr>
        <w:rFonts w:ascii="Symbol" w:hAnsi="Symbol" w:hint="default"/>
        <w:b w:val="0"/>
        <w:i w:val="0"/>
        <w:sz w:val="24"/>
        <w:szCs w:val="24"/>
      </w:rPr>
    </w:lvl>
    <w:lvl w:ilvl="1" w:tplc="0C090001">
      <w:start w:val="1"/>
      <w:numFmt w:val="bullet"/>
      <w:lvlText w:val=""/>
      <w:lvlJc w:val="left"/>
      <w:pPr>
        <w:ind w:left="1800" w:hanging="360"/>
      </w:pPr>
      <w:rPr>
        <w:rFonts w:ascii="Symbol" w:hAnsi="Symbol" w:hint="default"/>
      </w:rPr>
    </w:lvl>
    <w:lvl w:ilvl="2" w:tplc="0C090005">
      <w:numFmt w:val="bullet"/>
      <w:lvlText w:val="•"/>
      <w:lvlJc w:val="left"/>
      <w:pPr>
        <w:ind w:left="3060" w:hanging="720"/>
      </w:pPr>
      <w:rPr>
        <w:rFonts w:ascii="Calibri" w:eastAsiaTheme="minorHAnsi" w:hAnsi="Calibri" w:cstheme="minorBidi" w:hint="default"/>
      </w:r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4053668"/>
    <w:multiLevelType w:val="hybridMultilevel"/>
    <w:tmpl w:val="0A6A0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D0E25"/>
    <w:multiLevelType w:val="hybridMultilevel"/>
    <w:tmpl w:val="B276DBB6"/>
    <w:lvl w:ilvl="0" w:tplc="0C090001">
      <w:start w:val="1"/>
      <w:numFmt w:val="bullet"/>
      <w:lvlText w:val=""/>
      <w:lvlJc w:val="left"/>
      <w:pPr>
        <w:ind w:left="1080" w:hanging="360"/>
      </w:pPr>
      <w:rPr>
        <w:rFonts w:ascii="Symbol" w:hAnsi="Symbol" w:hint="default"/>
        <w:b w:val="0"/>
        <w:i w:val="0"/>
        <w:color w:val="auto"/>
        <w:sz w:val="24"/>
        <w:szCs w:val="24"/>
      </w:rPr>
    </w:lvl>
    <w:lvl w:ilvl="1" w:tplc="0C090001">
      <w:start w:val="1"/>
      <w:numFmt w:val="bullet"/>
      <w:lvlText w:val=""/>
      <w:lvlJc w:val="left"/>
      <w:pPr>
        <w:ind w:left="2160" w:hanging="360"/>
      </w:pPr>
      <w:rPr>
        <w:rFonts w:ascii="Symbol" w:hAnsi="Symbol" w:hint="default"/>
      </w:rPr>
    </w:lvl>
    <w:lvl w:ilvl="2" w:tplc="0C090005">
      <w:numFmt w:val="bullet"/>
      <w:lvlText w:val="•"/>
      <w:lvlJc w:val="left"/>
      <w:pPr>
        <w:ind w:left="3420" w:hanging="720"/>
      </w:pPr>
      <w:rPr>
        <w:rFonts w:ascii="Calibri" w:eastAsiaTheme="minorHAnsi" w:hAnsi="Calibri" w:cstheme="minorBidi" w:hint="default"/>
      </w:r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num w:numId="1">
    <w:abstractNumId w:val="1"/>
  </w:num>
  <w:num w:numId="2">
    <w:abstractNumId w:val="34"/>
  </w:num>
  <w:num w:numId="3">
    <w:abstractNumId w:val="17"/>
  </w:num>
  <w:num w:numId="4">
    <w:abstractNumId w:val="27"/>
  </w:num>
  <w:num w:numId="5">
    <w:abstractNumId w:val="0"/>
  </w:num>
  <w:num w:numId="6">
    <w:abstractNumId w:val="12"/>
    <w:lvlOverride w:ilvl="0">
      <w:lvl w:ilvl="0">
        <w:numFmt w:val="decimal"/>
        <w:pStyle w:val="Bullets1stindent"/>
        <w:lvlText w:val=""/>
        <w:lvlJc w:val="left"/>
      </w:lvl>
    </w:lvlOverride>
    <w:lvlOverride w:ilvl="1">
      <w:lvl w:ilvl="1">
        <w:start w:val="1"/>
        <w:numFmt w:val="bullet"/>
        <w:pStyle w:val="Bullets2ndindent"/>
        <w:lvlText w:val=""/>
        <w:lvlJc w:val="left"/>
        <w:pPr>
          <w:tabs>
            <w:tab w:val="num" w:pos="567"/>
          </w:tabs>
          <w:ind w:left="567" w:hanging="283"/>
        </w:pPr>
        <w:rPr>
          <w:rFonts w:ascii="Symbol" w:hAnsi="Symbol" w:hint="default"/>
          <w:color w:val="auto"/>
        </w:rPr>
      </w:lvl>
    </w:lvlOverride>
  </w:num>
  <w:num w:numId="7">
    <w:abstractNumId w:val="10"/>
  </w:num>
  <w:num w:numId="8">
    <w:abstractNumId w:val="15"/>
  </w:num>
  <w:num w:numId="9">
    <w:abstractNumId w:val="12"/>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1"/>
  </w:num>
  <w:num w:numId="13">
    <w:abstractNumId w:val="12"/>
    <w:lvlOverride w:ilvl="0">
      <w:lvl w:ilvl="0">
        <w:numFmt w:val="decimal"/>
        <w:pStyle w:val="Bullets1stindent"/>
        <w:lvlText w:val=""/>
        <w:lvlJc w:val="left"/>
      </w:lvl>
    </w:lvlOverride>
    <w:lvlOverride w:ilvl="1">
      <w:lvl w:ilvl="1">
        <w:start w:val="1"/>
        <w:numFmt w:val="bullet"/>
        <w:pStyle w:val="Bullets2ndindent"/>
        <w:lvlText w:val=""/>
        <w:lvlJc w:val="left"/>
        <w:pPr>
          <w:tabs>
            <w:tab w:val="num" w:pos="567"/>
          </w:tabs>
          <w:ind w:left="567" w:hanging="283"/>
        </w:pPr>
        <w:rPr>
          <w:rFonts w:ascii="Symbol" w:hAnsi="Symbol" w:hint="default"/>
          <w:color w:val="auto"/>
        </w:rPr>
      </w:lvl>
    </w:lvlOverride>
  </w:num>
  <w:num w:numId="14">
    <w:abstractNumId w:val="6"/>
  </w:num>
  <w:num w:numId="15">
    <w:abstractNumId w:val="8"/>
  </w:num>
  <w:num w:numId="16">
    <w:abstractNumId w:val="11"/>
  </w:num>
  <w:num w:numId="17">
    <w:abstractNumId w:val="2"/>
  </w:num>
  <w:num w:numId="18">
    <w:abstractNumId w:val="18"/>
  </w:num>
  <w:num w:numId="19">
    <w:abstractNumId w:val="3"/>
  </w:num>
  <w:num w:numId="20">
    <w:abstractNumId w:val="19"/>
  </w:num>
  <w:num w:numId="21">
    <w:abstractNumId w:val="30"/>
  </w:num>
  <w:num w:numId="22">
    <w:abstractNumId w:val="32"/>
  </w:num>
  <w:num w:numId="23">
    <w:abstractNumId w:val="23"/>
  </w:num>
  <w:num w:numId="24">
    <w:abstractNumId w:val="14"/>
  </w:num>
  <w:num w:numId="25">
    <w:abstractNumId w:val="22"/>
  </w:num>
  <w:num w:numId="26">
    <w:abstractNumId w:val="9"/>
  </w:num>
  <w:num w:numId="27">
    <w:abstractNumId w:val="36"/>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7"/>
  </w:num>
  <w:num w:numId="32">
    <w:abstractNumId w:val="31"/>
  </w:num>
  <w:num w:numId="33">
    <w:abstractNumId w:val="26"/>
  </w:num>
  <w:num w:numId="34">
    <w:abstractNumId w:val="16"/>
  </w:num>
  <w:num w:numId="35">
    <w:abstractNumId w:val="4"/>
  </w:num>
  <w:num w:numId="36">
    <w:abstractNumId w:val="29"/>
  </w:num>
  <w:num w:numId="37">
    <w:abstractNumId w:val="25"/>
  </w:num>
  <w:num w:numId="38">
    <w:abstractNumId w:val="13"/>
  </w:num>
  <w:num w:numId="39">
    <w:abstractNumId w:val="5"/>
  </w:num>
  <w:num w:numId="40">
    <w:abstractNumId w:val="37"/>
  </w:num>
  <w:num w:numId="41">
    <w:abstractNumId w:val="38"/>
  </w:num>
  <w:num w:numId="4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22"/>
    <w:rsid w:val="000009A9"/>
    <w:rsid w:val="000119CB"/>
    <w:rsid w:val="000204D7"/>
    <w:rsid w:val="00022063"/>
    <w:rsid w:val="00022DCC"/>
    <w:rsid w:val="00024685"/>
    <w:rsid w:val="00027CD5"/>
    <w:rsid w:val="000314CB"/>
    <w:rsid w:val="00035592"/>
    <w:rsid w:val="00035843"/>
    <w:rsid w:val="00047245"/>
    <w:rsid w:val="00051F39"/>
    <w:rsid w:val="00052292"/>
    <w:rsid w:val="00053AD5"/>
    <w:rsid w:val="000565BD"/>
    <w:rsid w:val="000604E7"/>
    <w:rsid w:val="000628EE"/>
    <w:rsid w:val="00063655"/>
    <w:rsid w:val="00064272"/>
    <w:rsid w:val="00076BE8"/>
    <w:rsid w:val="0007769C"/>
    <w:rsid w:val="00092B6B"/>
    <w:rsid w:val="0009603A"/>
    <w:rsid w:val="000A5571"/>
    <w:rsid w:val="000A5851"/>
    <w:rsid w:val="000A7A3C"/>
    <w:rsid w:val="000B111D"/>
    <w:rsid w:val="000B684A"/>
    <w:rsid w:val="000C092B"/>
    <w:rsid w:val="000C4751"/>
    <w:rsid w:val="000C6325"/>
    <w:rsid w:val="000D02C2"/>
    <w:rsid w:val="000D33FF"/>
    <w:rsid w:val="000D44DA"/>
    <w:rsid w:val="000D6B34"/>
    <w:rsid w:val="000E0AF7"/>
    <w:rsid w:val="000E1A3E"/>
    <w:rsid w:val="000F6E94"/>
    <w:rsid w:val="001015A1"/>
    <w:rsid w:val="0010303F"/>
    <w:rsid w:val="00104D33"/>
    <w:rsid w:val="0010746B"/>
    <w:rsid w:val="00110341"/>
    <w:rsid w:val="00110EAF"/>
    <w:rsid w:val="00110EB1"/>
    <w:rsid w:val="00111C8F"/>
    <w:rsid w:val="00112E3F"/>
    <w:rsid w:val="00116830"/>
    <w:rsid w:val="00127980"/>
    <w:rsid w:val="001453D4"/>
    <w:rsid w:val="00145AE3"/>
    <w:rsid w:val="00156311"/>
    <w:rsid w:val="00156A71"/>
    <w:rsid w:val="00156A80"/>
    <w:rsid w:val="00160172"/>
    <w:rsid w:val="00161413"/>
    <w:rsid w:val="0016368E"/>
    <w:rsid w:val="001656CE"/>
    <w:rsid w:val="00167C48"/>
    <w:rsid w:val="00181096"/>
    <w:rsid w:val="00185E6E"/>
    <w:rsid w:val="00186E1A"/>
    <w:rsid w:val="001932AA"/>
    <w:rsid w:val="0019480D"/>
    <w:rsid w:val="001A34DD"/>
    <w:rsid w:val="001A3CB6"/>
    <w:rsid w:val="001A49D4"/>
    <w:rsid w:val="001A68E3"/>
    <w:rsid w:val="001B2F2C"/>
    <w:rsid w:val="001B370D"/>
    <w:rsid w:val="001B747E"/>
    <w:rsid w:val="001C0079"/>
    <w:rsid w:val="001C0989"/>
    <w:rsid w:val="001C103A"/>
    <w:rsid w:val="001C2DF3"/>
    <w:rsid w:val="001C6567"/>
    <w:rsid w:val="001E4C63"/>
    <w:rsid w:val="001F655B"/>
    <w:rsid w:val="00201D6D"/>
    <w:rsid w:val="0020605F"/>
    <w:rsid w:val="002102C3"/>
    <w:rsid w:val="00210430"/>
    <w:rsid w:val="00211E24"/>
    <w:rsid w:val="00213ED6"/>
    <w:rsid w:val="00216414"/>
    <w:rsid w:val="002167BC"/>
    <w:rsid w:val="002261B2"/>
    <w:rsid w:val="002334E9"/>
    <w:rsid w:val="00237427"/>
    <w:rsid w:val="002376DA"/>
    <w:rsid w:val="00237EE9"/>
    <w:rsid w:val="00240961"/>
    <w:rsid w:val="00241032"/>
    <w:rsid w:val="00241094"/>
    <w:rsid w:val="002420E6"/>
    <w:rsid w:val="0024637F"/>
    <w:rsid w:val="00247644"/>
    <w:rsid w:val="00250971"/>
    <w:rsid w:val="00251FC0"/>
    <w:rsid w:val="0026503D"/>
    <w:rsid w:val="00267C70"/>
    <w:rsid w:val="00267E5C"/>
    <w:rsid w:val="00272F39"/>
    <w:rsid w:val="00273743"/>
    <w:rsid w:val="0028462A"/>
    <w:rsid w:val="0029065E"/>
    <w:rsid w:val="002922D6"/>
    <w:rsid w:val="002926B7"/>
    <w:rsid w:val="00293E03"/>
    <w:rsid w:val="00295D23"/>
    <w:rsid w:val="002A4694"/>
    <w:rsid w:val="002A683A"/>
    <w:rsid w:val="002B7514"/>
    <w:rsid w:val="002C4615"/>
    <w:rsid w:val="002C7310"/>
    <w:rsid w:val="002D0FF4"/>
    <w:rsid w:val="002D19D9"/>
    <w:rsid w:val="002D288F"/>
    <w:rsid w:val="002D390F"/>
    <w:rsid w:val="002D3E69"/>
    <w:rsid w:val="002D57DA"/>
    <w:rsid w:val="002D71D8"/>
    <w:rsid w:val="002E3C7C"/>
    <w:rsid w:val="002F034F"/>
    <w:rsid w:val="002F29FC"/>
    <w:rsid w:val="00311332"/>
    <w:rsid w:val="003242CF"/>
    <w:rsid w:val="003251D9"/>
    <w:rsid w:val="003279CC"/>
    <w:rsid w:val="0033001F"/>
    <w:rsid w:val="003328B1"/>
    <w:rsid w:val="00335624"/>
    <w:rsid w:val="00342665"/>
    <w:rsid w:val="003504D8"/>
    <w:rsid w:val="0035314A"/>
    <w:rsid w:val="00357BC2"/>
    <w:rsid w:val="00362306"/>
    <w:rsid w:val="0036265F"/>
    <w:rsid w:val="00364BFE"/>
    <w:rsid w:val="00367298"/>
    <w:rsid w:val="00367A2A"/>
    <w:rsid w:val="00367DCD"/>
    <w:rsid w:val="00373541"/>
    <w:rsid w:val="00377AB7"/>
    <w:rsid w:val="003826D3"/>
    <w:rsid w:val="00384660"/>
    <w:rsid w:val="00384963"/>
    <w:rsid w:val="00385B74"/>
    <w:rsid w:val="0038612E"/>
    <w:rsid w:val="00387361"/>
    <w:rsid w:val="00391063"/>
    <w:rsid w:val="00394217"/>
    <w:rsid w:val="00394B25"/>
    <w:rsid w:val="00397F4B"/>
    <w:rsid w:val="003A496B"/>
    <w:rsid w:val="003A686E"/>
    <w:rsid w:val="003A68F3"/>
    <w:rsid w:val="003B67C3"/>
    <w:rsid w:val="003C209B"/>
    <w:rsid w:val="003C25E0"/>
    <w:rsid w:val="003C6CC6"/>
    <w:rsid w:val="003C7B88"/>
    <w:rsid w:val="003D0ED5"/>
    <w:rsid w:val="003D1A00"/>
    <w:rsid w:val="003D28B9"/>
    <w:rsid w:val="003D3EEE"/>
    <w:rsid w:val="003D5789"/>
    <w:rsid w:val="003E1CE0"/>
    <w:rsid w:val="003E4922"/>
    <w:rsid w:val="003E6411"/>
    <w:rsid w:val="003E6814"/>
    <w:rsid w:val="003E6E51"/>
    <w:rsid w:val="003E7F56"/>
    <w:rsid w:val="003F32E4"/>
    <w:rsid w:val="003F443C"/>
    <w:rsid w:val="004010AE"/>
    <w:rsid w:val="00402893"/>
    <w:rsid w:val="00406342"/>
    <w:rsid w:val="00412ED1"/>
    <w:rsid w:val="00413651"/>
    <w:rsid w:val="00417990"/>
    <w:rsid w:val="00423BA2"/>
    <w:rsid w:val="00425046"/>
    <w:rsid w:val="00425C73"/>
    <w:rsid w:val="004301DD"/>
    <w:rsid w:val="00436A4F"/>
    <w:rsid w:val="004416F9"/>
    <w:rsid w:val="004460F3"/>
    <w:rsid w:val="00447D40"/>
    <w:rsid w:val="0045043E"/>
    <w:rsid w:val="00450C79"/>
    <w:rsid w:val="00453428"/>
    <w:rsid w:val="00460A40"/>
    <w:rsid w:val="00465291"/>
    <w:rsid w:val="0046725B"/>
    <w:rsid w:val="00470AF2"/>
    <w:rsid w:val="00470CEC"/>
    <w:rsid w:val="00474D93"/>
    <w:rsid w:val="00476F64"/>
    <w:rsid w:val="004800C2"/>
    <w:rsid w:val="00480F8B"/>
    <w:rsid w:val="00482FD0"/>
    <w:rsid w:val="004832AB"/>
    <w:rsid w:val="00483577"/>
    <w:rsid w:val="00483D9D"/>
    <w:rsid w:val="00485E12"/>
    <w:rsid w:val="004916BD"/>
    <w:rsid w:val="00492A87"/>
    <w:rsid w:val="00494B07"/>
    <w:rsid w:val="00495E8D"/>
    <w:rsid w:val="004A068E"/>
    <w:rsid w:val="004A1ECB"/>
    <w:rsid w:val="004A4BDB"/>
    <w:rsid w:val="004A63AE"/>
    <w:rsid w:val="004B2039"/>
    <w:rsid w:val="004B267D"/>
    <w:rsid w:val="004B50AE"/>
    <w:rsid w:val="004B65DF"/>
    <w:rsid w:val="004C1E01"/>
    <w:rsid w:val="004C251A"/>
    <w:rsid w:val="004C3952"/>
    <w:rsid w:val="004C46C1"/>
    <w:rsid w:val="004D2487"/>
    <w:rsid w:val="004D42EF"/>
    <w:rsid w:val="004E097A"/>
    <w:rsid w:val="004E0A26"/>
    <w:rsid w:val="004E4256"/>
    <w:rsid w:val="004E7B50"/>
    <w:rsid w:val="004F2DDB"/>
    <w:rsid w:val="004F7CA3"/>
    <w:rsid w:val="00502A30"/>
    <w:rsid w:val="00503CB8"/>
    <w:rsid w:val="00504CC7"/>
    <w:rsid w:val="00507A9C"/>
    <w:rsid w:val="00510EAC"/>
    <w:rsid w:val="00515B43"/>
    <w:rsid w:val="00523CED"/>
    <w:rsid w:val="005269F9"/>
    <w:rsid w:val="00527088"/>
    <w:rsid w:val="00532466"/>
    <w:rsid w:val="0053411B"/>
    <w:rsid w:val="00534F9F"/>
    <w:rsid w:val="005374E1"/>
    <w:rsid w:val="00540968"/>
    <w:rsid w:val="005447BB"/>
    <w:rsid w:val="005479CE"/>
    <w:rsid w:val="00550344"/>
    <w:rsid w:val="0055124A"/>
    <w:rsid w:val="00552130"/>
    <w:rsid w:val="005540D0"/>
    <w:rsid w:val="00563C30"/>
    <w:rsid w:val="0056646B"/>
    <w:rsid w:val="00576341"/>
    <w:rsid w:val="00577875"/>
    <w:rsid w:val="00585139"/>
    <w:rsid w:val="005869AA"/>
    <w:rsid w:val="00587237"/>
    <w:rsid w:val="00587BE3"/>
    <w:rsid w:val="00590380"/>
    <w:rsid w:val="0059040B"/>
    <w:rsid w:val="00596392"/>
    <w:rsid w:val="005966C1"/>
    <w:rsid w:val="005A0FDB"/>
    <w:rsid w:val="005A1069"/>
    <w:rsid w:val="005A1B6E"/>
    <w:rsid w:val="005A60BF"/>
    <w:rsid w:val="005A7A0B"/>
    <w:rsid w:val="005B0498"/>
    <w:rsid w:val="005B154C"/>
    <w:rsid w:val="005B4F76"/>
    <w:rsid w:val="005B5185"/>
    <w:rsid w:val="005B5D83"/>
    <w:rsid w:val="005C2112"/>
    <w:rsid w:val="005C44DE"/>
    <w:rsid w:val="005C47D1"/>
    <w:rsid w:val="005C51AD"/>
    <w:rsid w:val="005E00F6"/>
    <w:rsid w:val="005E0875"/>
    <w:rsid w:val="005E1828"/>
    <w:rsid w:val="005E26D7"/>
    <w:rsid w:val="005E4971"/>
    <w:rsid w:val="005E68EE"/>
    <w:rsid w:val="005E6E12"/>
    <w:rsid w:val="005F0482"/>
    <w:rsid w:val="005F0F69"/>
    <w:rsid w:val="005F1186"/>
    <w:rsid w:val="005F1B49"/>
    <w:rsid w:val="005F2334"/>
    <w:rsid w:val="0060105F"/>
    <w:rsid w:val="006037B4"/>
    <w:rsid w:val="006060EE"/>
    <w:rsid w:val="0060677C"/>
    <w:rsid w:val="00611E85"/>
    <w:rsid w:val="00631392"/>
    <w:rsid w:val="00633196"/>
    <w:rsid w:val="006372DC"/>
    <w:rsid w:val="006425D7"/>
    <w:rsid w:val="006440B3"/>
    <w:rsid w:val="00646339"/>
    <w:rsid w:val="006473CB"/>
    <w:rsid w:val="00653E29"/>
    <w:rsid w:val="00656184"/>
    <w:rsid w:val="00661F2C"/>
    <w:rsid w:val="00663F76"/>
    <w:rsid w:val="00664642"/>
    <w:rsid w:val="0066647B"/>
    <w:rsid w:val="0066717E"/>
    <w:rsid w:val="00670C49"/>
    <w:rsid w:val="006721F3"/>
    <w:rsid w:val="006730EA"/>
    <w:rsid w:val="006754F7"/>
    <w:rsid w:val="00681E02"/>
    <w:rsid w:val="006829AF"/>
    <w:rsid w:val="00682EA4"/>
    <w:rsid w:val="006872A2"/>
    <w:rsid w:val="006872C1"/>
    <w:rsid w:val="00690A7A"/>
    <w:rsid w:val="006942C0"/>
    <w:rsid w:val="00697AE0"/>
    <w:rsid w:val="006A0C6D"/>
    <w:rsid w:val="006A193C"/>
    <w:rsid w:val="006A407E"/>
    <w:rsid w:val="006B01E9"/>
    <w:rsid w:val="006B22A3"/>
    <w:rsid w:val="006B692D"/>
    <w:rsid w:val="006C2DA1"/>
    <w:rsid w:val="006C2F8A"/>
    <w:rsid w:val="006C30A1"/>
    <w:rsid w:val="006C3773"/>
    <w:rsid w:val="006C6FC2"/>
    <w:rsid w:val="006C78DB"/>
    <w:rsid w:val="006C7B9A"/>
    <w:rsid w:val="006D3BFC"/>
    <w:rsid w:val="006D579F"/>
    <w:rsid w:val="006D60EE"/>
    <w:rsid w:val="006D7E8D"/>
    <w:rsid w:val="006E55F9"/>
    <w:rsid w:val="006E5EB9"/>
    <w:rsid w:val="006E6AE1"/>
    <w:rsid w:val="006F08C9"/>
    <w:rsid w:val="006F2D9F"/>
    <w:rsid w:val="0070070D"/>
    <w:rsid w:val="00702733"/>
    <w:rsid w:val="00704070"/>
    <w:rsid w:val="00710837"/>
    <w:rsid w:val="00712058"/>
    <w:rsid w:val="00713014"/>
    <w:rsid w:val="00714303"/>
    <w:rsid w:val="00724667"/>
    <w:rsid w:val="0072505B"/>
    <w:rsid w:val="00734564"/>
    <w:rsid w:val="00735684"/>
    <w:rsid w:val="00741FD4"/>
    <w:rsid w:val="00743B4A"/>
    <w:rsid w:val="0074705A"/>
    <w:rsid w:val="00756D21"/>
    <w:rsid w:val="0075728F"/>
    <w:rsid w:val="007619E6"/>
    <w:rsid w:val="007639F8"/>
    <w:rsid w:val="007659C1"/>
    <w:rsid w:val="007751EB"/>
    <w:rsid w:val="00777553"/>
    <w:rsid w:val="00777902"/>
    <w:rsid w:val="00780073"/>
    <w:rsid w:val="00781D66"/>
    <w:rsid w:val="0078615F"/>
    <w:rsid w:val="007927F9"/>
    <w:rsid w:val="00795EB0"/>
    <w:rsid w:val="007A4967"/>
    <w:rsid w:val="007A5FC9"/>
    <w:rsid w:val="007B723F"/>
    <w:rsid w:val="007B7FB7"/>
    <w:rsid w:val="007C260B"/>
    <w:rsid w:val="007C33A3"/>
    <w:rsid w:val="007C35E2"/>
    <w:rsid w:val="007C6346"/>
    <w:rsid w:val="007D1973"/>
    <w:rsid w:val="007D5A40"/>
    <w:rsid w:val="007D68EC"/>
    <w:rsid w:val="007D7249"/>
    <w:rsid w:val="007D7622"/>
    <w:rsid w:val="007E2D1A"/>
    <w:rsid w:val="007E2DE3"/>
    <w:rsid w:val="007E42FB"/>
    <w:rsid w:val="007E5F24"/>
    <w:rsid w:val="007F056E"/>
    <w:rsid w:val="007F1047"/>
    <w:rsid w:val="007F269E"/>
    <w:rsid w:val="007F34EB"/>
    <w:rsid w:val="007F3EEB"/>
    <w:rsid w:val="007F3FAE"/>
    <w:rsid w:val="0080319B"/>
    <w:rsid w:val="00811391"/>
    <w:rsid w:val="00812B4F"/>
    <w:rsid w:val="008164F8"/>
    <w:rsid w:val="00830E54"/>
    <w:rsid w:val="0083269D"/>
    <w:rsid w:val="00833A2A"/>
    <w:rsid w:val="0083404E"/>
    <w:rsid w:val="008439CF"/>
    <w:rsid w:val="008464D9"/>
    <w:rsid w:val="00846622"/>
    <w:rsid w:val="008563C4"/>
    <w:rsid w:val="008604C0"/>
    <w:rsid w:val="00862121"/>
    <w:rsid w:val="0087047B"/>
    <w:rsid w:val="00871920"/>
    <w:rsid w:val="008753A2"/>
    <w:rsid w:val="00880029"/>
    <w:rsid w:val="00882A18"/>
    <w:rsid w:val="00885EF6"/>
    <w:rsid w:val="00886205"/>
    <w:rsid w:val="0089257A"/>
    <w:rsid w:val="00894619"/>
    <w:rsid w:val="00895F65"/>
    <w:rsid w:val="0089764E"/>
    <w:rsid w:val="008A0731"/>
    <w:rsid w:val="008A13D0"/>
    <w:rsid w:val="008A18D0"/>
    <w:rsid w:val="008A1AE9"/>
    <w:rsid w:val="008B2181"/>
    <w:rsid w:val="008B33E2"/>
    <w:rsid w:val="008C43C0"/>
    <w:rsid w:val="008C572E"/>
    <w:rsid w:val="008C5AF0"/>
    <w:rsid w:val="008C77E2"/>
    <w:rsid w:val="008D009B"/>
    <w:rsid w:val="008D2EB7"/>
    <w:rsid w:val="008D32BC"/>
    <w:rsid w:val="008E2EC5"/>
    <w:rsid w:val="008F2146"/>
    <w:rsid w:val="0090258B"/>
    <w:rsid w:val="0091177D"/>
    <w:rsid w:val="00914417"/>
    <w:rsid w:val="00914EF0"/>
    <w:rsid w:val="00921853"/>
    <w:rsid w:val="00927954"/>
    <w:rsid w:val="00927E02"/>
    <w:rsid w:val="00927F2C"/>
    <w:rsid w:val="00940DC1"/>
    <w:rsid w:val="00943E6A"/>
    <w:rsid w:val="009506B2"/>
    <w:rsid w:val="009515ED"/>
    <w:rsid w:val="00957D66"/>
    <w:rsid w:val="0097080D"/>
    <w:rsid w:val="009812D8"/>
    <w:rsid w:val="00981CF6"/>
    <w:rsid w:val="00984968"/>
    <w:rsid w:val="00985200"/>
    <w:rsid w:val="00990732"/>
    <w:rsid w:val="00993C96"/>
    <w:rsid w:val="00993EAF"/>
    <w:rsid w:val="00997D6B"/>
    <w:rsid w:val="009A4416"/>
    <w:rsid w:val="009A4A24"/>
    <w:rsid w:val="009A6E9E"/>
    <w:rsid w:val="009B0114"/>
    <w:rsid w:val="009B0E7F"/>
    <w:rsid w:val="009C2244"/>
    <w:rsid w:val="009C3A7A"/>
    <w:rsid w:val="009C3F51"/>
    <w:rsid w:val="009D0C7A"/>
    <w:rsid w:val="009D19EB"/>
    <w:rsid w:val="009D4B57"/>
    <w:rsid w:val="009D5E93"/>
    <w:rsid w:val="009D7323"/>
    <w:rsid w:val="009E4189"/>
    <w:rsid w:val="009E5020"/>
    <w:rsid w:val="009E7161"/>
    <w:rsid w:val="009F06EE"/>
    <w:rsid w:val="009F2341"/>
    <w:rsid w:val="009F3F6A"/>
    <w:rsid w:val="009F7AA7"/>
    <w:rsid w:val="00A0001A"/>
    <w:rsid w:val="00A00431"/>
    <w:rsid w:val="00A12ABE"/>
    <w:rsid w:val="00A3034D"/>
    <w:rsid w:val="00A36312"/>
    <w:rsid w:val="00A37350"/>
    <w:rsid w:val="00A45B4F"/>
    <w:rsid w:val="00A4642F"/>
    <w:rsid w:val="00A4680A"/>
    <w:rsid w:val="00A47EF1"/>
    <w:rsid w:val="00A52B1D"/>
    <w:rsid w:val="00A5477F"/>
    <w:rsid w:val="00A60F7A"/>
    <w:rsid w:val="00A721F4"/>
    <w:rsid w:val="00A75EBC"/>
    <w:rsid w:val="00A800D4"/>
    <w:rsid w:val="00A81FB2"/>
    <w:rsid w:val="00A971A8"/>
    <w:rsid w:val="00AA06DB"/>
    <w:rsid w:val="00AA0D1D"/>
    <w:rsid w:val="00AA416B"/>
    <w:rsid w:val="00AA5E91"/>
    <w:rsid w:val="00AA685C"/>
    <w:rsid w:val="00AB2074"/>
    <w:rsid w:val="00AB2FFF"/>
    <w:rsid w:val="00AB518B"/>
    <w:rsid w:val="00AD09D1"/>
    <w:rsid w:val="00AD30E5"/>
    <w:rsid w:val="00AD5AE8"/>
    <w:rsid w:val="00AE4409"/>
    <w:rsid w:val="00AE6A50"/>
    <w:rsid w:val="00AE74DF"/>
    <w:rsid w:val="00AF094E"/>
    <w:rsid w:val="00AF18B2"/>
    <w:rsid w:val="00AF5463"/>
    <w:rsid w:val="00AF5C16"/>
    <w:rsid w:val="00AF62BD"/>
    <w:rsid w:val="00B018C3"/>
    <w:rsid w:val="00B036C6"/>
    <w:rsid w:val="00B07DDF"/>
    <w:rsid w:val="00B14B5E"/>
    <w:rsid w:val="00B15305"/>
    <w:rsid w:val="00B16899"/>
    <w:rsid w:val="00B248BF"/>
    <w:rsid w:val="00B25157"/>
    <w:rsid w:val="00B34FEA"/>
    <w:rsid w:val="00B36762"/>
    <w:rsid w:val="00B42364"/>
    <w:rsid w:val="00B457BF"/>
    <w:rsid w:val="00B45B19"/>
    <w:rsid w:val="00B4701D"/>
    <w:rsid w:val="00B52ABD"/>
    <w:rsid w:val="00B540EB"/>
    <w:rsid w:val="00B5647E"/>
    <w:rsid w:val="00B60426"/>
    <w:rsid w:val="00B6049C"/>
    <w:rsid w:val="00B641B7"/>
    <w:rsid w:val="00B6527C"/>
    <w:rsid w:val="00B663A9"/>
    <w:rsid w:val="00B70F02"/>
    <w:rsid w:val="00B73DAF"/>
    <w:rsid w:val="00B76C9B"/>
    <w:rsid w:val="00B77D78"/>
    <w:rsid w:val="00B80EE5"/>
    <w:rsid w:val="00B81671"/>
    <w:rsid w:val="00B816BF"/>
    <w:rsid w:val="00B84C03"/>
    <w:rsid w:val="00B905B9"/>
    <w:rsid w:val="00B91140"/>
    <w:rsid w:val="00B91B8F"/>
    <w:rsid w:val="00B94278"/>
    <w:rsid w:val="00B95C99"/>
    <w:rsid w:val="00B9707B"/>
    <w:rsid w:val="00B97350"/>
    <w:rsid w:val="00BA4CCC"/>
    <w:rsid w:val="00BA64DB"/>
    <w:rsid w:val="00BB2253"/>
    <w:rsid w:val="00BC3F96"/>
    <w:rsid w:val="00BC5B87"/>
    <w:rsid w:val="00BC7013"/>
    <w:rsid w:val="00BD06B4"/>
    <w:rsid w:val="00BD4CBA"/>
    <w:rsid w:val="00BD4EFC"/>
    <w:rsid w:val="00BE7026"/>
    <w:rsid w:val="00BF09FC"/>
    <w:rsid w:val="00BF1C6A"/>
    <w:rsid w:val="00BF2584"/>
    <w:rsid w:val="00BF31EB"/>
    <w:rsid w:val="00C02A74"/>
    <w:rsid w:val="00C10A62"/>
    <w:rsid w:val="00C25956"/>
    <w:rsid w:val="00C261BA"/>
    <w:rsid w:val="00C279CD"/>
    <w:rsid w:val="00C27B04"/>
    <w:rsid w:val="00C320EA"/>
    <w:rsid w:val="00C34764"/>
    <w:rsid w:val="00C3714F"/>
    <w:rsid w:val="00C41411"/>
    <w:rsid w:val="00C47323"/>
    <w:rsid w:val="00C540AF"/>
    <w:rsid w:val="00C6570B"/>
    <w:rsid w:val="00C65969"/>
    <w:rsid w:val="00C74B74"/>
    <w:rsid w:val="00C7636E"/>
    <w:rsid w:val="00C86805"/>
    <w:rsid w:val="00C87195"/>
    <w:rsid w:val="00C96119"/>
    <w:rsid w:val="00CA07E7"/>
    <w:rsid w:val="00CA3E93"/>
    <w:rsid w:val="00CA4CB5"/>
    <w:rsid w:val="00CB0F2E"/>
    <w:rsid w:val="00CB4790"/>
    <w:rsid w:val="00CC3334"/>
    <w:rsid w:val="00CC3793"/>
    <w:rsid w:val="00CC4BF1"/>
    <w:rsid w:val="00CC52AC"/>
    <w:rsid w:val="00CC56E3"/>
    <w:rsid w:val="00CD426D"/>
    <w:rsid w:val="00CD4EC9"/>
    <w:rsid w:val="00CE02A9"/>
    <w:rsid w:val="00CE0FE7"/>
    <w:rsid w:val="00CE4B4A"/>
    <w:rsid w:val="00D004E5"/>
    <w:rsid w:val="00D07A05"/>
    <w:rsid w:val="00D116B9"/>
    <w:rsid w:val="00D119CA"/>
    <w:rsid w:val="00D123EA"/>
    <w:rsid w:val="00D2048F"/>
    <w:rsid w:val="00D2377D"/>
    <w:rsid w:val="00D25205"/>
    <w:rsid w:val="00D25B26"/>
    <w:rsid w:val="00D306A7"/>
    <w:rsid w:val="00D30759"/>
    <w:rsid w:val="00D320A6"/>
    <w:rsid w:val="00D40749"/>
    <w:rsid w:val="00D45DDB"/>
    <w:rsid w:val="00D50329"/>
    <w:rsid w:val="00D506D0"/>
    <w:rsid w:val="00D510F4"/>
    <w:rsid w:val="00D51297"/>
    <w:rsid w:val="00D60652"/>
    <w:rsid w:val="00D65E2F"/>
    <w:rsid w:val="00D70208"/>
    <w:rsid w:val="00D736B8"/>
    <w:rsid w:val="00D8573C"/>
    <w:rsid w:val="00D9401A"/>
    <w:rsid w:val="00D9606D"/>
    <w:rsid w:val="00D972B4"/>
    <w:rsid w:val="00DA2584"/>
    <w:rsid w:val="00DA6531"/>
    <w:rsid w:val="00DC0130"/>
    <w:rsid w:val="00DC51D5"/>
    <w:rsid w:val="00DC7736"/>
    <w:rsid w:val="00DD56A7"/>
    <w:rsid w:val="00DD5AEE"/>
    <w:rsid w:val="00DD78FB"/>
    <w:rsid w:val="00DE1B2B"/>
    <w:rsid w:val="00DE2991"/>
    <w:rsid w:val="00DE5D4A"/>
    <w:rsid w:val="00DE7CA1"/>
    <w:rsid w:val="00DF0EAC"/>
    <w:rsid w:val="00DF14B8"/>
    <w:rsid w:val="00DF3ABB"/>
    <w:rsid w:val="00DF5A74"/>
    <w:rsid w:val="00E02D66"/>
    <w:rsid w:val="00E03EC7"/>
    <w:rsid w:val="00E06633"/>
    <w:rsid w:val="00E2046D"/>
    <w:rsid w:val="00E20615"/>
    <w:rsid w:val="00E46B22"/>
    <w:rsid w:val="00E51242"/>
    <w:rsid w:val="00E51922"/>
    <w:rsid w:val="00E5324C"/>
    <w:rsid w:val="00E57C6D"/>
    <w:rsid w:val="00E60AF4"/>
    <w:rsid w:val="00E661EC"/>
    <w:rsid w:val="00E6762C"/>
    <w:rsid w:val="00E67641"/>
    <w:rsid w:val="00E71AAD"/>
    <w:rsid w:val="00E728DA"/>
    <w:rsid w:val="00E81049"/>
    <w:rsid w:val="00E81E35"/>
    <w:rsid w:val="00E829B6"/>
    <w:rsid w:val="00E83846"/>
    <w:rsid w:val="00E85D68"/>
    <w:rsid w:val="00E93523"/>
    <w:rsid w:val="00EB4094"/>
    <w:rsid w:val="00EC10DF"/>
    <w:rsid w:val="00EC19FC"/>
    <w:rsid w:val="00EC2402"/>
    <w:rsid w:val="00EC2457"/>
    <w:rsid w:val="00ED5F64"/>
    <w:rsid w:val="00EE61B4"/>
    <w:rsid w:val="00EE6EFE"/>
    <w:rsid w:val="00EF07EB"/>
    <w:rsid w:val="00EF56DB"/>
    <w:rsid w:val="00F01C50"/>
    <w:rsid w:val="00F04A3F"/>
    <w:rsid w:val="00F11C04"/>
    <w:rsid w:val="00F15927"/>
    <w:rsid w:val="00F17A1B"/>
    <w:rsid w:val="00F17D70"/>
    <w:rsid w:val="00F27999"/>
    <w:rsid w:val="00F34008"/>
    <w:rsid w:val="00F344B3"/>
    <w:rsid w:val="00F35435"/>
    <w:rsid w:val="00F35763"/>
    <w:rsid w:val="00F41394"/>
    <w:rsid w:val="00F42A4D"/>
    <w:rsid w:val="00F4535D"/>
    <w:rsid w:val="00F45FF6"/>
    <w:rsid w:val="00F571EF"/>
    <w:rsid w:val="00F5749E"/>
    <w:rsid w:val="00F657B1"/>
    <w:rsid w:val="00F720B1"/>
    <w:rsid w:val="00F722BC"/>
    <w:rsid w:val="00F7304D"/>
    <w:rsid w:val="00F86CD0"/>
    <w:rsid w:val="00F902D7"/>
    <w:rsid w:val="00FA347B"/>
    <w:rsid w:val="00FA363C"/>
    <w:rsid w:val="00FA4098"/>
    <w:rsid w:val="00FA76F6"/>
    <w:rsid w:val="00FB28AC"/>
    <w:rsid w:val="00FB3597"/>
    <w:rsid w:val="00FC08C7"/>
    <w:rsid w:val="00FC0ACF"/>
    <w:rsid w:val="00FC3932"/>
    <w:rsid w:val="00FD2918"/>
    <w:rsid w:val="00FE0646"/>
    <w:rsid w:val="00FE203A"/>
    <w:rsid w:val="00FE3929"/>
    <w:rsid w:val="00FE4B28"/>
    <w:rsid w:val="00FE5F5D"/>
    <w:rsid w:val="00FF7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E6FD1B-55F7-486A-B1D2-CF09AAB4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EF"/>
  </w:style>
  <w:style w:type="paragraph" w:styleId="Heading2">
    <w:name w:val="heading 2"/>
    <w:basedOn w:val="Normal"/>
    <w:next w:val="Normal"/>
    <w:link w:val="Heading2Char"/>
    <w:uiPriority w:val="9"/>
    <w:unhideWhenUsed/>
    <w:qFormat/>
    <w:rsid w:val="003C2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034D"/>
    <w:pPr>
      <w:keepNext/>
      <w:spacing w:before="360" w:after="120" w:line="260" w:lineRule="exact"/>
      <w:outlineLvl w:val="3"/>
    </w:pPr>
    <w:rPr>
      <w:rFonts w:ascii="Arial" w:eastAsia="Times New Roman" w:hAnsi="Arial" w:cs="Times New Roman"/>
      <w:b/>
      <w:spacing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1EC"/>
    <w:pPr>
      <w:tabs>
        <w:tab w:val="center" w:pos="4513"/>
        <w:tab w:val="right" w:pos="9026"/>
      </w:tabs>
      <w:spacing w:after="0"/>
    </w:pPr>
  </w:style>
  <w:style w:type="character" w:customStyle="1" w:styleId="HeaderChar">
    <w:name w:val="Header Char"/>
    <w:basedOn w:val="DefaultParagraphFont"/>
    <w:link w:val="Header"/>
    <w:uiPriority w:val="99"/>
    <w:rsid w:val="00E661EC"/>
  </w:style>
  <w:style w:type="paragraph" w:styleId="Footer">
    <w:name w:val="footer"/>
    <w:basedOn w:val="Normal"/>
    <w:link w:val="FooterChar"/>
    <w:uiPriority w:val="99"/>
    <w:unhideWhenUsed/>
    <w:rsid w:val="00E661EC"/>
    <w:pPr>
      <w:tabs>
        <w:tab w:val="center" w:pos="4513"/>
        <w:tab w:val="right" w:pos="9026"/>
      </w:tabs>
      <w:spacing w:after="0"/>
    </w:pPr>
  </w:style>
  <w:style w:type="character" w:customStyle="1" w:styleId="FooterChar">
    <w:name w:val="Footer Char"/>
    <w:basedOn w:val="DefaultParagraphFont"/>
    <w:link w:val="Footer"/>
    <w:uiPriority w:val="99"/>
    <w:rsid w:val="00E661EC"/>
  </w:style>
  <w:style w:type="paragraph" w:styleId="BalloonText">
    <w:name w:val="Balloon Text"/>
    <w:basedOn w:val="Normal"/>
    <w:link w:val="BalloonTextChar"/>
    <w:uiPriority w:val="99"/>
    <w:semiHidden/>
    <w:unhideWhenUsed/>
    <w:rsid w:val="00E661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1EC"/>
    <w:rPr>
      <w:rFonts w:ascii="Tahoma" w:hAnsi="Tahoma" w:cs="Tahoma"/>
      <w:sz w:val="16"/>
      <w:szCs w:val="16"/>
    </w:rPr>
  </w:style>
  <w:style w:type="paragraph" w:customStyle="1" w:styleId="hps-normal">
    <w:name w:val="hps-normal"/>
    <w:basedOn w:val="Normal"/>
    <w:rsid w:val="00734564"/>
    <w:pPr>
      <w:spacing w:before="180" w:after="180"/>
      <w:ind w:firstLine="240"/>
    </w:pPr>
    <w:rPr>
      <w:rFonts w:ascii="Times New Roman" w:eastAsia="Times New Roman" w:hAnsi="Times New Roman" w:cs="Times New Roman"/>
      <w:color w:val="444444"/>
      <w:sz w:val="24"/>
      <w:szCs w:val="24"/>
      <w:lang w:eastAsia="en-AU"/>
    </w:rPr>
  </w:style>
  <w:style w:type="character" w:customStyle="1" w:styleId="hps-normal1">
    <w:name w:val="hps-normal1"/>
    <w:basedOn w:val="DefaultParagraphFont"/>
    <w:rsid w:val="00734564"/>
  </w:style>
  <w:style w:type="paragraph" w:customStyle="1" w:styleId="Style5">
    <w:name w:val="Style5"/>
    <w:basedOn w:val="Normal"/>
    <w:link w:val="Style5Char"/>
    <w:qFormat/>
    <w:rsid w:val="00734564"/>
    <w:pPr>
      <w:numPr>
        <w:numId w:val="1"/>
      </w:numPr>
      <w:spacing w:after="0"/>
    </w:pPr>
    <w:rPr>
      <w:rFonts w:ascii="Times New Roman" w:eastAsia="Times New Roman" w:hAnsi="Times New Roman" w:cs="Times New Roman"/>
      <w:sz w:val="24"/>
      <w:szCs w:val="24"/>
      <w:lang w:eastAsia="en-AU"/>
    </w:rPr>
  </w:style>
  <w:style w:type="character" w:customStyle="1" w:styleId="Style5Char">
    <w:name w:val="Style5 Char"/>
    <w:basedOn w:val="DefaultParagraphFont"/>
    <w:link w:val="Style5"/>
    <w:rsid w:val="00734564"/>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qFormat/>
    <w:rsid w:val="00734564"/>
    <w:pPr>
      <w:spacing w:before="120" w:after="120"/>
    </w:pPr>
    <w:rPr>
      <w:rFonts w:ascii="Verdana" w:hAnsi="Verdana"/>
    </w:rPr>
  </w:style>
  <w:style w:type="character" w:customStyle="1" w:styleId="CABNETParagraphChar">
    <w:name w:val="CABNET Paragraph Char"/>
    <w:basedOn w:val="DefaultParagraphFont"/>
    <w:link w:val="CABNETParagraph"/>
    <w:rsid w:val="00734564"/>
    <w:rPr>
      <w:rFonts w:ascii="Verdana" w:hAnsi="Verdana"/>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447D40"/>
    <w:pPr>
      <w:spacing w:after="0"/>
      <w:ind w:left="720"/>
      <w:contextualSpacing/>
    </w:pPr>
    <w:rPr>
      <w:rFonts w:ascii="Calibri" w:hAnsi="Calibri" w:cs="Times New Roman"/>
      <w:lang w:eastAsia="en-AU"/>
    </w:rPr>
  </w:style>
  <w:style w:type="character" w:customStyle="1" w:styleId="Heading4Char">
    <w:name w:val="Heading 4 Char"/>
    <w:basedOn w:val="DefaultParagraphFont"/>
    <w:link w:val="Heading4"/>
    <w:rsid w:val="00A3034D"/>
    <w:rPr>
      <w:rFonts w:ascii="Arial" w:eastAsia="Times New Roman" w:hAnsi="Arial" w:cs="Times New Roman"/>
      <w:b/>
      <w:spacing w:val="-6"/>
      <w:sz w:val="26"/>
      <w:szCs w:val="26"/>
    </w:rPr>
  </w:style>
  <w:style w:type="paragraph" w:styleId="FootnoteText">
    <w:name w:val="footnote text"/>
    <w:link w:val="FootnoteTextChar"/>
    <w:uiPriority w:val="99"/>
    <w:qFormat/>
    <w:rsid w:val="00A3034D"/>
    <w:pPr>
      <w:tabs>
        <w:tab w:val="left" w:pos="284"/>
      </w:tabs>
      <w:spacing w:after="20" w:line="260" w:lineRule="atLeast"/>
      <w:ind w:left="284" w:hanging="284"/>
    </w:pPr>
    <w:rPr>
      <w:rFonts w:ascii="Arial" w:eastAsia="Times New Roman" w:hAnsi="Arial" w:cs="Times New Roman"/>
      <w:color w:val="37424A"/>
      <w:sz w:val="15"/>
      <w:szCs w:val="20"/>
    </w:rPr>
  </w:style>
  <w:style w:type="character" w:customStyle="1" w:styleId="FootnoteTextChar">
    <w:name w:val="Footnote Text Char"/>
    <w:basedOn w:val="DefaultParagraphFont"/>
    <w:link w:val="FootnoteText"/>
    <w:uiPriority w:val="99"/>
    <w:rsid w:val="00A3034D"/>
    <w:rPr>
      <w:rFonts w:ascii="Arial" w:eastAsia="Times New Roman" w:hAnsi="Arial" w:cs="Times New Roman"/>
      <w:color w:val="37424A"/>
      <w:sz w:val="15"/>
      <w:szCs w:val="20"/>
    </w:rPr>
  </w:style>
  <w:style w:type="character" w:styleId="FootnoteReference">
    <w:name w:val="footnote reference"/>
    <w:basedOn w:val="DefaultParagraphFont"/>
    <w:uiPriority w:val="99"/>
    <w:rsid w:val="00A3034D"/>
    <w:rPr>
      <w:vertAlign w:val="superscript"/>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34"/>
    <w:locked/>
    <w:rsid w:val="00A3034D"/>
    <w:rPr>
      <w:rFonts w:ascii="Calibri" w:hAnsi="Calibri" w:cs="Times New Roman"/>
      <w:lang w:eastAsia="en-AU"/>
    </w:rPr>
  </w:style>
  <w:style w:type="table" w:styleId="TableGrid">
    <w:name w:val="Table Grid"/>
    <w:basedOn w:val="TableNormal"/>
    <w:uiPriority w:val="59"/>
    <w:rsid w:val="00F657B1"/>
    <w:pPr>
      <w:spacing w:after="0"/>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C209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C209B"/>
    <w:rPr>
      <w:color w:val="0000FF" w:themeColor="hyperlink"/>
      <w:u w:val="single"/>
    </w:rPr>
  </w:style>
  <w:style w:type="paragraph" w:customStyle="1" w:styleId="BodyText1">
    <w:name w:val="Body Text1"/>
    <w:basedOn w:val="Normal"/>
    <w:qFormat/>
    <w:rsid w:val="003C209B"/>
    <w:pPr>
      <w:spacing w:after="120"/>
    </w:pPr>
    <w:rPr>
      <w:rFonts w:ascii="Cambria" w:eastAsia="Times New Roman" w:hAnsi="Cambria" w:cs="Times New Roman"/>
      <w:szCs w:val="24"/>
    </w:rPr>
  </w:style>
  <w:style w:type="character" w:styleId="CommentReference">
    <w:name w:val="annotation reference"/>
    <w:basedOn w:val="DefaultParagraphFont"/>
    <w:uiPriority w:val="99"/>
    <w:semiHidden/>
    <w:unhideWhenUsed/>
    <w:rsid w:val="00F41394"/>
    <w:rPr>
      <w:sz w:val="16"/>
      <w:szCs w:val="16"/>
    </w:rPr>
  </w:style>
  <w:style w:type="paragraph" w:styleId="CommentText">
    <w:name w:val="annotation text"/>
    <w:basedOn w:val="Normal"/>
    <w:link w:val="CommentTextChar"/>
    <w:uiPriority w:val="99"/>
    <w:semiHidden/>
    <w:unhideWhenUsed/>
    <w:rsid w:val="00F41394"/>
    <w:rPr>
      <w:sz w:val="20"/>
      <w:szCs w:val="20"/>
    </w:rPr>
  </w:style>
  <w:style w:type="character" w:customStyle="1" w:styleId="CommentTextChar">
    <w:name w:val="Comment Text Char"/>
    <w:basedOn w:val="DefaultParagraphFont"/>
    <w:link w:val="CommentText"/>
    <w:uiPriority w:val="99"/>
    <w:semiHidden/>
    <w:rsid w:val="00F41394"/>
    <w:rPr>
      <w:sz w:val="20"/>
      <w:szCs w:val="20"/>
    </w:rPr>
  </w:style>
  <w:style w:type="paragraph" w:styleId="CommentSubject">
    <w:name w:val="annotation subject"/>
    <w:basedOn w:val="CommentText"/>
    <w:next w:val="CommentText"/>
    <w:link w:val="CommentSubjectChar"/>
    <w:uiPriority w:val="99"/>
    <w:semiHidden/>
    <w:unhideWhenUsed/>
    <w:rsid w:val="00F41394"/>
    <w:rPr>
      <w:b/>
      <w:bCs/>
    </w:rPr>
  </w:style>
  <w:style w:type="character" w:customStyle="1" w:styleId="CommentSubjectChar">
    <w:name w:val="Comment Subject Char"/>
    <w:basedOn w:val="CommentTextChar"/>
    <w:link w:val="CommentSubject"/>
    <w:uiPriority w:val="99"/>
    <w:semiHidden/>
    <w:rsid w:val="00F41394"/>
    <w:rPr>
      <w:b/>
      <w:bCs/>
      <w:sz w:val="20"/>
      <w:szCs w:val="20"/>
    </w:rPr>
  </w:style>
  <w:style w:type="paragraph" w:customStyle="1" w:styleId="Default">
    <w:name w:val="Default"/>
    <w:rsid w:val="00F41394"/>
    <w:pPr>
      <w:autoSpaceDE w:val="0"/>
      <w:autoSpaceDN w:val="0"/>
      <w:adjustRightInd w:val="0"/>
      <w:spacing w:after="0"/>
    </w:pPr>
    <w:rPr>
      <w:rFonts w:ascii="Cambria" w:hAnsi="Cambria" w:cs="Cambria"/>
      <w:color w:val="000000"/>
      <w:sz w:val="24"/>
      <w:szCs w:val="24"/>
    </w:rPr>
  </w:style>
  <w:style w:type="paragraph" w:customStyle="1" w:styleId="bluetext">
    <w:name w:val="bluetext"/>
    <w:basedOn w:val="Normal"/>
    <w:rsid w:val="007751EB"/>
    <w:pPr>
      <w:spacing w:after="240"/>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102C3"/>
    <w:rPr>
      <w:color w:val="800080" w:themeColor="followedHyperlink"/>
      <w:u w:val="single"/>
    </w:rPr>
  </w:style>
  <w:style w:type="paragraph" w:customStyle="1" w:styleId="BodyText2">
    <w:name w:val="Body Text2"/>
    <w:basedOn w:val="Normal"/>
    <w:qFormat/>
    <w:rsid w:val="005447BB"/>
    <w:pPr>
      <w:spacing w:after="120"/>
    </w:pPr>
    <w:rPr>
      <w:rFonts w:ascii="Cambria" w:eastAsia="Times New Roman" w:hAnsi="Cambria" w:cs="Times New Roman"/>
      <w:szCs w:val="24"/>
    </w:rPr>
  </w:style>
  <w:style w:type="paragraph" w:customStyle="1" w:styleId="Normal1">
    <w:name w:val="Normal1"/>
    <w:basedOn w:val="ListParagraph"/>
    <w:qFormat/>
    <w:rsid w:val="00AE4409"/>
    <w:pPr>
      <w:numPr>
        <w:numId w:val="3"/>
      </w:numPr>
      <w:tabs>
        <w:tab w:val="left" w:pos="426"/>
      </w:tabs>
      <w:spacing w:after="120"/>
      <w:ind w:left="357" w:hanging="357"/>
    </w:pPr>
    <w:rPr>
      <w:rFonts w:ascii="Times New Roman" w:hAnsi="Times New Roman"/>
      <w:sz w:val="24"/>
      <w:szCs w:val="28"/>
      <w:u w:val="single"/>
      <w:lang w:eastAsia="en-US"/>
    </w:rPr>
  </w:style>
  <w:style w:type="paragraph" w:customStyle="1" w:styleId="Tabletext">
    <w:name w:val="Table text"/>
    <w:basedOn w:val="Normal"/>
    <w:rsid w:val="00646339"/>
    <w:pPr>
      <w:spacing w:after="120"/>
    </w:pPr>
    <w:rPr>
      <w:rFonts w:ascii="Calibri" w:hAnsi="Calibri" w:cs="Times New Roman"/>
      <w:sz w:val="24"/>
      <w:szCs w:val="24"/>
      <w:lang w:eastAsia="en-AU"/>
    </w:rPr>
  </w:style>
  <w:style w:type="paragraph" w:styleId="ListBullet">
    <w:name w:val="List Bullet"/>
    <w:basedOn w:val="Normal"/>
    <w:qFormat/>
    <w:rsid w:val="00A37350"/>
    <w:pPr>
      <w:numPr>
        <w:numId w:val="5"/>
      </w:numPr>
      <w:spacing w:after="200"/>
      <w:contextualSpacing/>
    </w:pPr>
    <w:rPr>
      <w:rFonts w:ascii="Cambria" w:eastAsia="Times New Roman" w:hAnsi="Cambria" w:cs="Times New Roman"/>
      <w:szCs w:val="24"/>
    </w:rPr>
  </w:style>
  <w:style w:type="paragraph" w:customStyle="1" w:styleId="Bullets1stindent">
    <w:name w:val="Bullets (1st indent)"/>
    <w:basedOn w:val="Normal"/>
    <w:rsid w:val="00663F76"/>
    <w:pPr>
      <w:numPr>
        <w:numId w:val="6"/>
      </w:numPr>
      <w:spacing w:after="120"/>
    </w:pPr>
    <w:rPr>
      <w:rFonts w:ascii="Cambria" w:eastAsia="Times New Roman" w:hAnsi="Cambria" w:cs="Times New Roman"/>
      <w:szCs w:val="24"/>
    </w:rPr>
  </w:style>
  <w:style w:type="paragraph" w:customStyle="1" w:styleId="Bullets2ndindent">
    <w:name w:val="Bullets (2nd indent)"/>
    <w:basedOn w:val="Normal"/>
    <w:rsid w:val="00663F76"/>
    <w:pPr>
      <w:numPr>
        <w:ilvl w:val="1"/>
        <w:numId w:val="6"/>
      </w:numPr>
      <w:spacing w:after="120"/>
    </w:pPr>
    <w:rPr>
      <w:rFonts w:ascii="Cambria" w:eastAsia="Times New Roman" w:hAnsi="Cambria" w:cs="Times New Roman"/>
      <w:szCs w:val="24"/>
    </w:rPr>
  </w:style>
  <w:style w:type="numbering" w:customStyle="1" w:styleId="Bullets">
    <w:name w:val="Bullets"/>
    <w:basedOn w:val="NoList"/>
    <w:uiPriority w:val="99"/>
    <w:rsid w:val="00663F76"/>
    <w:pPr>
      <w:numPr>
        <w:numId w:val="9"/>
      </w:numPr>
    </w:pPr>
  </w:style>
  <w:style w:type="paragraph" w:customStyle="1" w:styleId="Bulletslast1stindent">
    <w:name w:val="Bullets last (1st indent)"/>
    <w:basedOn w:val="Normal"/>
    <w:rsid w:val="00663F76"/>
    <w:pPr>
      <w:numPr>
        <w:ilvl w:val="2"/>
        <w:numId w:val="6"/>
      </w:numPr>
      <w:spacing w:after="120"/>
    </w:pPr>
    <w:rPr>
      <w:rFonts w:ascii="Cambria" w:eastAsia="Times New Roman" w:hAnsi="Cambria" w:cs="Times New Roman"/>
      <w:szCs w:val="24"/>
    </w:rPr>
  </w:style>
  <w:style w:type="paragraph" w:customStyle="1" w:styleId="Bulletslast2ndindent">
    <w:name w:val="Bullets last (2nd indent)"/>
    <w:basedOn w:val="Normal"/>
    <w:rsid w:val="00663F76"/>
    <w:pPr>
      <w:numPr>
        <w:ilvl w:val="3"/>
        <w:numId w:val="6"/>
      </w:numPr>
      <w:spacing w:after="57"/>
    </w:pPr>
    <w:rPr>
      <w:rFonts w:ascii="Cambria" w:eastAsia="Times New Roman" w:hAnsi="Cambria" w:cs="Times New Roman"/>
      <w:szCs w:val="24"/>
    </w:rPr>
  </w:style>
  <w:style w:type="paragraph" w:customStyle="1" w:styleId="Tablebullets2ndindent">
    <w:name w:val="Table bullets (2nd indent)"/>
    <w:basedOn w:val="Normal"/>
    <w:qFormat/>
    <w:rsid w:val="00663F76"/>
    <w:pPr>
      <w:numPr>
        <w:ilvl w:val="6"/>
        <w:numId w:val="6"/>
      </w:numPr>
      <w:spacing w:before="57" w:after="57" w:line="220" w:lineRule="atLeast"/>
      <w:ind w:right="96"/>
    </w:pPr>
    <w:rPr>
      <w:rFonts w:ascii="Arial" w:eastAsia="Times New Roman" w:hAnsi="Arial" w:cs="Times New Roman"/>
      <w:sz w:val="17"/>
      <w:szCs w:val="24"/>
    </w:rPr>
  </w:style>
  <w:style w:type="paragraph" w:customStyle="1" w:styleId="Tablebullets1stindent">
    <w:name w:val="Table bullets (1st indent)"/>
    <w:basedOn w:val="Normal"/>
    <w:qFormat/>
    <w:rsid w:val="00663F76"/>
    <w:pPr>
      <w:numPr>
        <w:ilvl w:val="5"/>
        <w:numId w:val="6"/>
      </w:numPr>
      <w:spacing w:before="57" w:after="57" w:line="220" w:lineRule="atLeast"/>
      <w:ind w:right="96"/>
    </w:pPr>
    <w:rPr>
      <w:rFonts w:ascii="Arial" w:eastAsia="Times New Roman" w:hAnsi="Arial" w:cs="Times New Roman"/>
      <w:sz w:val="17"/>
      <w:szCs w:val="24"/>
    </w:rPr>
  </w:style>
  <w:style w:type="character" w:customStyle="1" w:styleId="organisationlastnode1">
    <w:name w:val="organisationlastnode1"/>
    <w:basedOn w:val="DefaultParagraphFont"/>
    <w:rsid w:val="00663F76"/>
    <w:rPr>
      <w:vanish w:val="0"/>
      <w:webHidden w:val="0"/>
      <w:specVanish w:val="0"/>
    </w:rPr>
  </w:style>
  <w:style w:type="paragraph" w:customStyle="1" w:styleId="NumberedParagraph">
    <w:name w:val="Numbered Paragraph"/>
    <w:basedOn w:val="Normal"/>
    <w:rsid w:val="00940DC1"/>
    <w:pPr>
      <w:numPr>
        <w:numId w:val="24"/>
      </w:numPr>
      <w:spacing w:after="240" w:line="24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6D60EE"/>
    <w:rPr>
      <w:b/>
      <w:bCs/>
    </w:rPr>
  </w:style>
  <w:style w:type="paragraph" w:customStyle="1" w:styleId="Bullet1">
    <w:name w:val="Bullet 1"/>
    <w:basedOn w:val="Normal"/>
    <w:qFormat/>
    <w:rsid w:val="00F7304D"/>
    <w:pPr>
      <w:numPr>
        <w:numId w:val="27"/>
      </w:numPr>
      <w:suppressAutoHyphens/>
      <w:spacing w:before="120" w:after="60" w:line="280" w:lineRule="atLeast"/>
    </w:pPr>
  </w:style>
  <w:style w:type="paragraph" w:customStyle="1" w:styleId="Bullet2">
    <w:name w:val="Bullet 2"/>
    <w:basedOn w:val="Bullet1"/>
    <w:qFormat/>
    <w:rsid w:val="00F7304D"/>
    <w:pPr>
      <w:numPr>
        <w:ilvl w:val="1"/>
      </w:numPr>
    </w:pPr>
  </w:style>
  <w:style w:type="paragraph" w:customStyle="1" w:styleId="Bullet3">
    <w:name w:val="Bullet 3"/>
    <w:basedOn w:val="Bullet2"/>
    <w:qFormat/>
    <w:rsid w:val="00F7304D"/>
    <w:pPr>
      <w:numPr>
        <w:ilvl w:val="2"/>
      </w:numPr>
      <w:tabs>
        <w:tab w:val="num" w:pos="2160"/>
      </w:tabs>
      <w:ind w:left="2160" w:hanging="180"/>
    </w:pPr>
  </w:style>
  <w:style w:type="numbering" w:customStyle="1" w:styleId="BulletsList">
    <w:name w:val="Bullets List"/>
    <w:uiPriority w:val="99"/>
    <w:rsid w:val="00F7304D"/>
    <w:pPr>
      <w:numPr>
        <w:numId w:val="27"/>
      </w:numPr>
    </w:pPr>
  </w:style>
  <w:style w:type="paragraph" w:styleId="NormalWeb">
    <w:name w:val="Normal (Web)"/>
    <w:basedOn w:val="Normal"/>
    <w:uiPriority w:val="99"/>
    <w:semiHidden/>
    <w:unhideWhenUsed/>
    <w:rsid w:val="0058723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ndent">
    <w:name w:val="indent"/>
    <w:basedOn w:val="Normal"/>
    <w:rsid w:val="0058723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ndent2">
    <w:name w:val="indent2"/>
    <w:basedOn w:val="Normal"/>
    <w:rsid w:val="00587237"/>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6095">
      <w:bodyDiv w:val="1"/>
      <w:marLeft w:val="0"/>
      <w:marRight w:val="0"/>
      <w:marTop w:val="0"/>
      <w:marBottom w:val="0"/>
      <w:divBdr>
        <w:top w:val="none" w:sz="0" w:space="0" w:color="auto"/>
        <w:left w:val="none" w:sz="0" w:space="0" w:color="auto"/>
        <w:bottom w:val="none" w:sz="0" w:space="0" w:color="auto"/>
        <w:right w:val="none" w:sz="0" w:space="0" w:color="auto"/>
      </w:divBdr>
    </w:div>
    <w:div w:id="269896423">
      <w:bodyDiv w:val="1"/>
      <w:marLeft w:val="0"/>
      <w:marRight w:val="0"/>
      <w:marTop w:val="0"/>
      <w:marBottom w:val="0"/>
      <w:divBdr>
        <w:top w:val="none" w:sz="0" w:space="0" w:color="auto"/>
        <w:left w:val="none" w:sz="0" w:space="0" w:color="auto"/>
        <w:bottom w:val="none" w:sz="0" w:space="0" w:color="auto"/>
        <w:right w:val="none" w:sz="0" w:space="0" w:color="auto"/>
      </w:divBdr>
      <w:divsChild>
        <w:div w:id="431366840">
          <w:marLeft w:val="0"/>
          <w:marRight w:val="0"/>
          <w:marTop w:val="0"/>
          <w:marBottom w:val="0"/>
          <w:divBdr>
            <w:top w:val="none" w:sz="0" w:space="0" w:color="auto"/>
            <w:left w:val="none" w:sz="0" w:space="0" w:color="auto"/>
            <w:bottom w:val="none" w:sz="0" w:space="0" w:color="auto"/>
            <w:right w:val="none" w:sz="0" w:space="0" w:color="auto"/>
          </w:divBdr>
          <w:divsChild>
            <w:div w:id="1384911747">
              <w:marLeft w:val="0"/>
              <w:marRight w:val="0"/>
              <w:marTop w:val="0"/>
              <w:marBottom w:val="0"/>
              <w:divBdr>
                <w:top w:val="none" w:sz="0" w:space="0" w:color="auto"/>
                <w:left w:val="none" w:sz="0" w:space="0" w:color="auto"/>
                <w:bottom w:val="none" w:sz="0" w:space="0" w:color="auto"/>
                <w:right w:val="none" w:sz="0" w:space="0" w:color="auto"/>
              </w:divBdr>
              <w:divsChild>
                <w:div w:id="71781800">
                  <w:marLeft w:val="0"/>
                  <w:marRight w:val="0"/>
                  <w:marTop w:val="0"/>
                  <w:marBottom w:val="0"/>
                  <w:divBdr>
                    <w:top w:val="none" w:sz="0" w:space="0" w:color="auto"/>
                    <w:left w:val="none" w:sz="0" w:space="0" w:color="auto"/>
                    <w:bottom w:val="none" w:sz="0" w:space="0" w:color="auto"/>
                    <w:right w:val="none" w:sz="0" w:space="0" w:color="auto"/>
                  </w:divBdr>
                  <w:divsChild>
                    <w:div w:id="1670672976">
                      <w:marLeft w:val="0"/>
                      <w:marRight w:val="0"/>
                      <w:marTop w:val="0"/>
                      <w:marBottom w:val="0"/>
                      <w:divBdr>
                        <w:top w:val="none" w:sz="0" w:space="0" w:color="auto"/>
                        <w:left w:val="none" w:sz="0" w:space="0" w:color="auto"/>
                        <w:bottom w:val="none" w:sz="0" w:space="0" w:color="auto"/>
                        <w:right w:val="none" w:sz="0" w:space="0" w:color="auto"/>
                      </w:divBdr>
                      <w:divsChild>
                        <w:div w:id="389354073">
                          <w:marLeft w:val="0"/>
                          <w:marRight w:val="0"/>
                          <w:marTop w:val="0"/>
                          <w:marBottom w:val="0"/>
                          <w:divBdr>
                            <w:top w:val="none" w:sz="0" w:space="0" w:color="auto"/>
                            <w:left w:val="none" w:sz="0" w:space="0" w:color="auto"/>
                            <w:bottom w:val="none" w:sz="0" w:space="0" w:color="auto"/>
                            <w:right w:val="none" w:sz="0" w:space="0" w:color="auto"/>
                          </w:divBdr>
                          <w:divsChild>
                            <w:div w:id="892351372">
                              <w:marLeft w:val="0"/>
                              <w:marRight w:val="0"/>
                              <w:marTop w:val="0"/>
                              <w:marBottom w:val="0"/>
                              <w:divBdr>
                                <w:top w:val="none" w:sz="0" w:space="0" w:color="auto"/>
                                <w:left w:val="none" w:sz="0" w:space="0" w:color="auto"/>
                                <w:bottom w:val="none" w:sz="0" w:space="0" w:color="auto"/>
                                <w:right w:val="none" w:sz="0" w:space="0" w:color="auto"/>
                              </w:divBdr>
                              <w:divsChild>
                                <w:div w:id="424109104">
                                  <w:marLeft w:val="0"/>
                                  <w:marRight w:val="0"/>
                                  <w:marTop w:val="0"/>
                                  <w:marBottom w:val="0"/>
                                  <w:divBdr>
                                    <w:top w:val="none" w:sz="0" w:space="0" w:color="auto"/>
                                    <w:left w:val="none" w:sz="0" w:space="0" w:color="auto"/>
                                    <w:bottom w:val="none" w:sz="0" w:space="0" w:color="auto"/>
                                    <w:right w:val="none" w:sz="0" w:space="0" w:color="auto"/>
                                  </w:divBdr>
                                  <w:divsChild>
                                    <w:div w:id="1381900091">
                                      <w:marLeft w:val="0"/>
                                      <w:marRight w:val="0"/>
                                      <w:marTop w:val="0"/>
                                      <w:marBottom w:val="0"/>
                                      <w:divBdr>
                                        <w:top w:val="none" w:sz="0" w:space="0" w:color="auto"/>
                                        <w:left w:val="none" w:sz="0" w:space="0" w:color="auto"/>
                                        <w:bottom w:val="none" w:sz="0" w:space="0" w:color="auto"/>
                                        <w:right w:val="none" w:sz="0" w:space="0" w:color="auto"/>
                                      </w:divBdr>
                                      <w:divsChild>
                                        <w:div w:id="2129859661">
                                          <w:marLeft w:val="0"/>
                                          <w:marRight w:val="0"/>
                                          <w:marTop w:val="0"/>
                                          <w:marBottom w:val="0"/>
                                          <w:divBdr>
                                            <w:top w:val="none" w:sz="0" w:space="0" w:color="auto"/>
                                            <w:left w:val="none" w:sz="0" w:space="0" w:color="auto"/>
                                            <w:bottom w:val="none" w:sz="0" w:space="0" w:color="auto"/>
                                            <w:right w:val="none" w:sz="0" w:space="0" w:color="auto"/>
                                          </w:divBdr>
                                          <w:divsChild>
                                            <w:div w:id="405341614">
                                              <w:marLeft w:val="0"/>
                                              <w:marRight w:val="0"/>
                                              <w:marTop w:val="0"/>
                                              <w:marBottom w:val="0"/>
                                              <w:divBdr>
                                                <w:top w:val="none" w:sz="0" w:space="0" w:color="auto"/>
                                                <w:left w:val="none" w:sz="0" w:space="0" w:color="auto"/>
                                                <w:bottom w:val="none" w:sz="0" w:space="0" w:color="auto"/>
                                                <w:right w:val="none" w:sz="0" w:space="0" w:color="auto"/>
                                              </w:divBdr>
                                              <w:divsChild>
                                                <w:div w:id="1631476643">
                                                  <w:marLeft w:val="0"/>
                                                  <w:marRight w:val="0"/>
                                                  <w:marTop w:val="0"/>
                                                  <w:marBottom w:val="0"/>
                                                  <w:divBdr>
                                                    <w:top w:val="none" w:sz="0" w:space="0" w:color="auto"/>
                                                    <w:left w:val="none" w:sz="0" w:space="0" w:color="auto"/>
                                                    <w:bottom w:val="none" w:sz="0" w:space="0" w:color="auto"/>
                                                    <w:right w:val="none" w:sz="0" w:space="0" w:color="auto"/>
                                                  </w:divBdr>
                                                  <w:divsChild>
                                                    <w:div w:id="695933476">
                                                      <w:marLeft w:val="0"/>
                                                      <w:marRight w:val="0"/>
                                                      <w:marTop w:val="0"/>
                                                      <w:marBottom w:val="0"/>
                                                      <w:divBdr>
                                                        <w:top w:val="none" w:sz="0" w:space="0" w:color="auto"/>
                                                        <w:left w:val="none" w:sz="0" w:space="0" w:color="auto"/>
                                                        <w:bottom w:val="none" w:sz="0" w:space="0" w:color="auto"/>
                                                        <w:right w:val="none" w:sz="0" w:space="0" w:color="auto"/>
                                                      </w:divBdr>
                                                      <w:divsChild>
                                                        <w:div w:id="9939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7408120">
      <w:bodyDiv w:val="1"/>
      <w:marLeft w:val="0"/>
      <w:marRight w:val="0"/>
      <w:marTop w:val="0"/>
      <w:marBottom w:val="0"/>
      <w:divBdr>
        <w:top w:val="none" w:sz="0" w:space="0" w:color="auto"/>
        <w:left w:val="none" w:sz="0" w:space="0" w:color="auto"/>
        <w:bottom w:val="none" w:sz="0" w:space="0" w:color="auto"/>
        <w:right w:val="none" w:sz="0" w:space="0" w:color="auto"/>
      </w:divBdr>
    </w:div>
    <w:div w:id="380251036">
      <w:bodyDiv w:val="1"/>
      <w:marLeft w:val="0"/>
      <w:marRight w:val="0"/>
      <w:marTop w:val="0"/>
      <w:marBottom w:val="0"/>
      <w:divBdr>
        <w:top w:val="none" w:sz="0" w:space="0" w:color="auto"/>
        <w:left w:val="none" w:sz="0" w:space="0" w:color="auto"/>
        <w:bottom w:val="none" w:sz="0" w:space="0" w:color="auto"/>
        <w:right w:val="none" w:sz="0" w:space="0" w:color="auto"/>
      </w:divBdr>
    </w:div>
    <w:div w:id="1390374337">
      <w:bodyDiv w:val="1"/>
      <w:marLeft w:val="0"/>
      <w:marRight w:val="0"/>
      <w:marTop w:val="0"/>
      <w:marBottom w:val="0"/>
      <w:divBdr>
        <w:top w:val="none" w:sz="0" w:space="0" w:color="auto"/>
        <w:left w:val="none" w:sz="0" w:space="0" w:color="auto"/>
        <w:bottom w:val="none" w:sz="0" w:space="0" w:color="auto"/>
        <w:right w:val="none" w:sz="0" w:space="0" w:color="auto"/>
      </w:divBdr>
      <w:divsChild>
        <w:div w:id="555942541">
          <w:marLeft w:val="0"/>
          <w:marRight w:val="0"/>
          <w:marTop w:val="0"/>
          <w:marBottom w:val="0"/>
          <w:divBdr>
            <w:top w:val="single" w:sz="6" w:space="8" w:color="B8B8B8"/>
            <w:left w:val="none" w:sz="0" w:space="0" w:color="auto"/>
            <w:bottom w:val="none" w:sz="0" w:space="0" w:color="auto"/>
            <w:right w:val="none" w:sz="0" w:space="0" w:color="auto"/>
          </w:divBdr>
          <w:divsChild>
            <w:div w:id="775371948">
              <w:marLeft w:val="2"/>
              <w:marRight w:val="2"/>
              <w:marTop w:val="0"/>
              <w:marBottom w:val="0"/>
              <w:divBdr>
                <w:top w:val="single" w:sz="6" w:space="8" w:color="CDCCD4"/>
                <w:left w:val="single" w:sz="6" w:space="8" w:color="CDCCD4"/>
                <w:bottom w:val="single" w:sz="6" w:space="8" w:color="CDCCD4"/>
                <w:right w:val="single" w:sz="6" w:space="4" w:color="CDCCD4"/>
              </w:divBdr>
              <w:divsChild>
                <w:div w:id="949510138">
                  <w:marLeft w:val="0"/>
                  <w:marRight w:val="0"/>
                  <w:marTop w:val="85"/>
                  <w:marBottom w:val="85"/>
                  <w:divBdr>
                    <w:top w:val="single" w:sz="6" w:space="8" w:color="CCCCD4"/>
                    <w:left w:val="single" w:sz="6" w:space="8" w:color="CCCCD4"/>
                    <w:bottom w:val="single" w:sz="6" w:space="8" w:color="CCCCD4"/>
                    <w:right w:val="single" w:sz="6" w:space="8" w:color="CCCCD4"/>
                  </w:divBdr>
                  <w:divsChild>
                    <w:div w:id="1463697197">
                      <w:marLeft w:val="0"/>
                      <w:marRight w:val="0"/>
                      <w:marTop w:val="0"/>
                      <w:marBottom w:val="0"/>
                      <w:divBdr>
                        <w:top w:val="none" w:sz="0" w:space="0" w:color="auto"/>
                        <w:left w:val="none" w:sz="0" w:space="0" w:color="auto"/>
                        <w:bottom w:val="none" w:sz="0" w:space="0" w:color="auto"/>
                        <w:right w:val="none" w:sz="0" w:space="0" w:color="auto"/>
                      </w:divBdr>
                      <w:divsChild>
                        <w:div w:id="1306739932">
                          <w:marLeft w:val="0"/>
                          <w:marRight w:val="0"/>
                          <w:marTop w:val="0"/>
                          <w:marBottom w:val="0"/>
                          <w:divBdr>
                            <w:top w:val="none" w:sz="0" w:space="0" w:color="auto"/>
                            <w:left w:val="none" w:sz="0" w:space="0" w:color="auto"/>
                            <w:bottom w:val="none" w:sz="0" w:space="0" w:color="auto"/>
                            <w:right w:val="single" w:sz="6" w:space="0" w:color="CCCCD4"/>
                          </w:divBdr>
                          <w:divsChild>
                            <w:div w:id="1038702266">
                              <w:marLeft w:val="0"/>
                              <w:marRight w:val="0"/>
                              <w:marTop w:val="0"/>
                              <w:marBottom w:val="0"/>
                              <w:divBdr>
                                <w:top w:val="none" w:sz="0" w:space="0" w:color="auto"/>
                                <w:left w:val="none" w:sz="0" w:space="0" w:color="auto"/>
                                <w:bottom w:val="none" w:sz="0" w:space="0" w:color="auto"/>
                                <w:right w:val="none" w:sz="0" w:space="0" w:color="auto"/>
                              </w:divBdr>
                              <w:divsChild>
                                <w:div w:id="890194113">
                                  <w:marLeft w:val="0"/>
                                  <w:marRight w:val="0"/>
                                  <w:marTop w:val="0"/>
                                  <w:marBottom w:val="0"/>
                                  <w:divBdr>
                                    <w:top w:val="none" w:sz="0" w:space="0" w:color="auto"/>
                                    <w:left w:val="none" w:sz="0" w:space="0" w:color="auto"/>
                                    <w:bottom w:val="none" w:sz="0" w:space="0" w:color="auto"/>
                                    <w:right w:val="none" w:sz="0" w:space="0" w:color="auto"/>
                                  </w:divBdr>
                                  <w:divsChild>
                                    <w:div w:id="369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916561">
      <w:bodyDiv w:val="1"/>
      <w:marLeft w:val="0"/>
      <w:marRight w:val="0"/>
      <w:marTop w:val="0"/>
      <w:marBottom w:val="0"/>
      <w:divBdr>
        <w:top w:val="none" w:sz="0" w:space="0" w:color="auto"/>
        <w:left w:val="none" w:sz="0" w:space="0" w:color="auto"/>
        <w:bottom w:val="none" w:sz="0" w:space="0" w:color="auto"/>
        <w:right w:val="none" w:sz="0" w:space="0" w:color="auto"/>
      </w:divBdr>
    </w:div>
    <w:div w:id="1694380635">
      <w:bodyDiv w:val="1"/>
      <w:marLeft w:val="0"/>
      <w:marRight w:val="0"/>
      <w:marTop w:val="0"/>
      <w:marBottom w:val="0"/>
      <w:divBdr>
        <w:top w:val="none" w:sz="0" w:space="0" w:color="auto"/>
        <w:left w:val="none" w:sz="0" w:space="0" w:color="auto"/>
        <w:bottom w:val="none" w:sz="0" w:space="0" w:color="auto"/>
        <w:right w:val="none" w:sz="0" w:space="0" w:color="auto"/>
      </w:divBdr>
    </w:div>
    <w:div w:id="2011564390">
      <w:bodyDiv w:val="1"/>
      <w:marLeft w:val="0"/>
      <w:marRight w:val="0"/>
      <w:marTop w:val="0"/>
      <w:marBottom w:val="0"/>
      <w:divBdr>
        <w:top w:val="none" w:sz="0" w:space="0" w:color="auto"/>
        <w:left w:val="none" w:sz="0" w:space="0" w:color="auto"/>
        <w:bottom w:val="none" w:sz="0" w:space="0" w:color="auto"/>
        <w:right w:val="none" w:sz="0" w:space="0" w:color="auto"/>
      </w:divBdr>
    </w:div>
    <w:div w:id="2025672470">
      <w:bodyDiv w:val="1"/>
      <w:marLeft w:val="0"/>
      <w:marRight w:val="0"/>
      <w:marTop w:val="0"/>
      <w:marBottom w:val="0"/>
      <w:divBdr>
        <w:top w:val="none" w:sz="0" w:space="0" w:color="auto"/>
        <w:left w:val="none" w:sz="0" w:space="0" w:color="auto"/>
        <w:bottom w:val="none" w:sz="0" w:space="0" w:color="auto"/>
        <w:right w:val="none" w:sz="0" w:space="0" w:color="auto"/>
      </w:divBdr>
      <w:divsChild>
        <w:div w:id="783498301">
          <w:marLeft w:val="0"/>
          <w:marRight w:val="0"/>
          <w:marTop w:val="0"/>
          <w:marBottom w:val="0"/>
          <w:divBdr>
            <w:top w:val="none" w:sz="0" w:space="0" w:color="auto"/>
            <w:left w:val="none" w:sz="0" w:space="0" w:color="auto"/>
            <w:bottom w:val="none" w:sz="0" w:space="0" w:color="auto"/>
            <w:right w:val="none" w:sz="0" w:space="0" w:color="auto"/>
          </w:divBdr>
          <w:divsChild>
            <w:div w:id="991180775">
              <w:marLeft w:val="0"/>
              <w:marRight w:val="0"/>
              <w:marTop w:val="0"/>
              <w:marBottom w:val="0"/>
              <w:divBdr>
                <w:top w:val="none" w:sz="0" w:space="0" w:color="auto"/>
                <w:left w:val="none" w:sz="0" w:space="0" w:color="auto"/>
                <w:bottom w:val="none" w:sz="0" w:space="0" w:color="auto"/>
                <w:right w:val="none" w:sz="0" w:space="0" w:color="auto"/>
              </w:divBdr>
              <w:divsChild>
                <w:div w:id="441923609">
                  <w:marLeft w:val="0"/>
                  <w:marRight w:val="0"/>
                  <w:marTop w:val="0"/>
                  <w:marBottom w:val="0"/>
                  <w:divBdr>
                    <w:top w:val="none" w:sz="0" w:space="0" w:color="auto"/>
                    <w:left w:val="none" w:sz="0" w:space="0" w:color="auto"/>
                    <w:bottom w:val="none" w:sz="0" w:space="0" w:color="auto"/>
                    <w:right w:val="none" w:sz="0" w:space="0" w:color="auto"/>
                  </w:divBdr>
                  <w:divsChild>
                    <w:div w:id="228270880">
                      <w:marLeft w:val="0"/>
                      <w:marRight w:val="0"/>
                      <w:marTop w:val="0"/>
                      <w:marBottom w:val="0"/>
                      <w:divBdr>
                        <w:top w:val="none" w:sz="0" w:space="0" w:color="auto"/>
                        <w:left w:val="none" w:sz="0" w:space="0" w:color="auto"/>
                        <w:bottom w:val="none" w:sz="0" w:space="0" w:color="auto"/>
                        <w:right w:val="none" w:sz="0" w:space="0" w:color="auto"/>
                      </w:divBdr>
                      <w:divsChild>
                        <w:div w:id="405495685">
                          <w:marLeft w:val="0"/>
                          <w:marRight w:val="0"/>
                          <w:marTop w:val="0"/>
                          <w:marBottom w:val="0"/>
                          <w:divBdr>
                            <w:top w:val="none" w:sz="0" w:space="0" w:color="auto"/>
                            <w:left w:val="none" w:sz="0" w:space="0" w:color="auto"/>
                            <w:bottom w:val="none" w:sz="0" w:space="0" w:color="auto"/>
                            <w:right w:val="none" w:sz="0" w:space="0" w:color="auto"/>
                          </w:divBdr>
                          <w:divsChild>
                            <w:div w:id="1449466786">
                              <w:marLeft w:val="0"/>
                              <w:marRight w:val="0"/>
                              <w:marTop w:val="0"/>
                              <w:marBottom w:val="0"/>
                              <w:divBdr>
                                <w:top w:val="none" w:sz="0" w:space="0" w:color="auto"/>
                                <w:left w:val="none" w:sz="0" w:space="0" w:color="auto"/>
                                <w:bottom w:val="none" w:sz="0" w:space="0" w:color="auto"/>
                                <w:right w:val="none" w:sz="0" w:space="0" w:color="auto"/>
                              </w:divBdr>
                              <w:divsChild>
                                <w:div w:id="206839839">
                                  <w:marLeft w:val="0"/>
                                  <w:marRight w:val="0"/>
                                  <w:marTop w:val="0"/>
                                  <w:marBottom w:val="0"/>
                                  <w:divBdr>
                                    <w:top w:val="none" w:sz="0" w:space="0" w:color="auto"/>
                                    <w:left w:val="none" w:sz="0" w:space="0" w:color="auto"/>
                                    <w:bottom w:val="none" w:sz="0" w:space="0" w:color="auto"/>
                                    <w:right w:val="none" w:sz="0" w:space="0" w:color="auto"/>
                                  </w:divBdr>
                                  <w:divsChild>
                                    <w:div w:id="1281498811">
                                      <w:marLeft w:val="0"/>
                                      <w:marRight w:val="0"/>
                                      <w:marTop w:val="0"/>
                                      <w:marBottom w:val="0"/>
                                      <w:divBdr>
                                        <w:top w:val="none" w:sz="0" w:space="0" w:color="auto"/>
                                        <w:left w:val="none" w:sz="0" w:space="0" w:color="auto"/>
                                        <w:bottom w:val="none" w:sz="0" w:space="0" w:color="auto"/>
                                        <w:right w:val="none" w:sz="0" w:space="0" w:color="auto"/>
                                      </w:divBdr>
                                      <w:divsChild>
                                        <w:div w:id="1932817208">
                                          <w:marLeft w:val="0"/>
                                          <w:marRight w:val="0"/>
                                          <w:marTop w:val="0"/>
                                          <w:marBottom w:val="0"/>
                                          <w:divBdr>
                                            <w:top w:val="none" w:sz="0" w:space="0" w:color="auto"/>
                                            <w:left w:val="none" w:sz="0" w:space="0" w:color="auto"/>
                                            <w:bottom w:val="none" w:sz="0" w:space="0" w:color="auto"/>
                                            <w:right w:val="none" w:sz="0" w:space="0" w:color="auto"/>
                                          </w:divBdr>
                                          <w:divsChild>
                                            <w:div w:id="379088383">
                                              <w:marLeft w:val="0"/>
                                              <w:marRight w:val="0"/>
                                              <w:marTop w:val="0"/>
                                              <w:marBottom w:val="0"/>
                                              <w:divBdr>
                                                <w:top w:val="none" w:sz="0" w:space="0" w:color="auto"/>
                                                <w:left w:val="none" w:sz="0" w:space="0" w:color="auto"/>
                                                <w:bottom w:val="none" w:sz="0" w:space="0" w:color="auto"/>
                                                <w:right w:val="none" w:sz="0" w:space="0" w:color="auto"/>
                                              </w:divBdr>
                                              <w:divsChild>
                                                <w:div w:id="1613435692">
                                                  <w:marLeft w:val="0"/>
                                                  <w:marRight w:val="0"/>
                                                  <w:marTop w:val="0"/>
                                                  <w:marBottom w:val="0"/>
                                                  <w:divBdr>
                                                    <w:top w:val="none" w:sz="0" w:space="0" w:color="auto"/>
                                                    <w:left w:val="none" w:sz="0" w:space="0" w:color="auto"/>
                                                    <w:bottom w:val="none" w:sz="0" w:space="0" w:color="auto"/>
                                                    <w:right w:val="none" w:sz="0" w:space="0" w:color="auto"/>
                                                  </w:divBdr>
                                                  <w:divsChild>
                                                    <w:div w:id="15348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ce.gov.au/resource-management/" TargetMode="External"/><Relationship Id="rId18" Type="http://schemas.openxmlformats.org/officeDocument/2006/relationships/hyperlink" Target="http://www.finance.gov.au/resource-management/accountability/accountable-authoriti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finance.gov.au/resource-management/accountability/accountable-authority-instructions/" TargetMode="External"/><Relationship Id="rId7" Type="http://schemas.openxmlformats.org/officeDocument/2006/relationships/footnotes" Target="footnotes.xml"/><Relationship Id="rId12" Type="http://schemas.openxmlformats.org/officeDocument/2006/relationships/hyperlink" Target="https://www.legislation.gov.au/Series/F2016L01626" TargetMode="External"/><Relationship Id="rId17" Type="http://schemas.openxmlformats.org/officeDocument/2006/relationships/hyperlink" Target="http://www.finance.gov.au/resource-management/pgpa-gloss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inance.gov.au/resource-management/pgpa-rule/" TargetMode="External"/><Relationship Id="rId20" Type="http://schemas.openxmlformats.org/officeDocument/2006/relationships/hyperlink" Target="http://www.pmra.finance.gov.au/newslet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F2016L0073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inance.gov.au/resource-management/pgpa-act/" TargetMode="External"/><Relationship Id="rId23" Type="http://schemas.openxmlformats.org/officeDocument/2006/relationships/footer" Target="footer1.xml"/><Relationship Id="rId10" Type="http://schemas.openxmlformats.org/officeDocument/2006/relationships/hyperlink" Target="https://www.legislation.gov.au/Series/F2016L00070" TargetMode="External"/><Relationship Id="rId19" Type="http://schemas.openxmlformats.org/officeDocument/2006/relationships/hyperlink" Target="http://www.finance.gov.au/resource-management/introduction-pgpa/" TargetMode="External"/><Relationship Id="rId4" Type="http://schemas.openxmlformats.org/officeDocument/2006/relationships/styles" Target="styles.xml"/><Relationship Id="rId9" Type="http://schemas.openxmlformats.org/officeDocument/2006/relationships/hyperlink" Target="http://www.finance.gov.au/resource-management/good-practice-in-government/" TargetMode="External"/><Relationship Id="rId14" Type="http://schemas.openxmlformats.org/officeDocument/2006/relationships/hyperlink" Target="http://www.finance.gov.au/resource-management/introductio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inance.gov.au" TargetMode="External"/><Relationship Id="rId2" Type="http://schemas.openxmlformats.org/officeDocument/2006/relationships/hyperlink" Target="http://www.finance.gov.au/publications/reducingredtape/" TargetMode="External"/><Relationship Id="rId1" Type="http://schemas.openxmlformats.org/officeDocument/2006/relationships/hyperlink" Target="https://www.anao.gov.au/work/performance-audit/corporate-planning-australian-public-sector-201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791F02-3E14-48DC-9B4C-C4884CB6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5ECE7EF2</Template>
  <TotalTime>1</TotalTime>
  <Pages>10</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DRAFT Submission One to the JCPAA February 2013 for 5 March</vt:lpstr>
    </vt:vector>
  </TitlesOfParts>
  <Company>FINANCE</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Submission One to the JCPAA February 2013 for 5 March</dc:title>
  <dc:creator>robnei</dc:creator>
  <cp:lastModifiedBy>Gordon, Helen</cp:lastModifiedBy>
  <cp:revision>2</cp:revision>
  <cp:lastPrinted>2017-06-06T01:09:00Z</cp:lastPrinted>
  <dcterms:created xsi:type="dcterms:W3CDTF">2017-06-19T23:12:00Z</dcterms:created>
  <dcterms:modified xsi:type="dcterms:W3CDTF">2017-06-19T23:12:00Z</dcterms:modified>
</cp:coreProperties>
</file>