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5B" w:rsidRPr="003D7BE6" w:rsidRDefault="005A14C1" w:rsidP="000D12FB">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D7BE6">
        <w:rPr>
          <w:noProof/>
          <w:lang w:eastAsia="en-AU"/>
        </w:rPr>
        <w:drawing>
          <wp:inline distT="0" distB="0" distL="0" distR="0">
            <wp:extent cx="1913491" cy="1062317"/>
            <wp:effectExtent l="19050" t="0" r="0" b="0"/>
            <wp:docPr id="3" name="Picture 2" descr="AustGovt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stacked.jpg"/>
                    <pic:cNvPicPr/>
                  </pic:nvPicPr>
                  <pic:blipFill>
                    <a:blip r:embed="rId11" cstate="print"/>
                    <a:stretch>
                      <a:fillRect/>
                    </a:stretch>
                  </pic:blipFill>
                  <pic:spPr>
                    <a:xfrm>
                      <a:off x="0" y="0"/>
                      <a:ext cx="1925982" cy="1069252"/>
                    </a:xfrm>
                    <a:prstGeom prst="rect">
                      <a:avLst/>
                    </a:prstGeom>
                  </pic:spPr>
                </pic:pic>
              </a:graphicData>
            </a:graphic>
          </wp:inline>
        </w:drawing>
      </w:r>
    </w:p>
    <w:p w:rsidR="00B2215B" w:rsidRPr="003D7BE6" w:rsidRDefault="00B2215B" w:rsidP="000D12FB">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B2215B" w:rsidRPr="003D7BE6" w:rsidRDefault="00B2215B" w:rsidP="000D12FB">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B2215B" w:rsidRPr="003D7BE6" w:rsidRDefault="00B2215B" w:rsidP="000D12FB">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417A47" w:rsidRPr="00474B7B" w:rsidRDefault="00F47E58" w:rsidP="000D12FB">
      <w:pPr>
        <w:jc w:val="center"/>
        <w:rPr>
          <w:smallCaps/>
          <w:sz w:val="40"/>
          <w:szCs w:val="36"/>
        </w:rPr>
      </w:pPr>
      <w:r w:rsidRPr="00474B7B">
        <w:rPr>
          <w:smallCaps/>
          <w:sz w:val="40"/>
          <w:szCs w:val="36"/>
        </w:rPr>
        <w:t>Report on</w:t>
      </w:r>
    </w:p>
    <w:p w:rsidR="0099764C" w:rsidRPr="00474B7B" w:rsidRDefault="00F47E58" w:rsidP="000D12FB">
      <w:pPr>
        <w:jc w:val="center"/>
        <w:rPr>
          <w:smallCaps/>
          <w:sz w:val="40"/>
          <w:szCs w:val="36"/>
        </w:rPr>
      </w:pPr>
      <w:r w:rsidRPr="00474B7B">
        <w:rPr>
          <w:smallCaps/>
          <w:sz w:val="40"/>
          <w:szCs w:val="36"/>
        </w:rPr>
        <w:t>Advances provided</w:t>
      </w:r>
      <w:r w:rsidR="00B17B6B" w:rsidRPr="00474B7B">
        <w:rPr>
          <w:smallCaps/>
          <w:sz w:val="40"/>
          <w:szCs w:val="36"/>
        </w:rPr>
        <w:t xml:space="preserve"> under</w:t>
      </w:r>
    </w:p>
    <w:p w:rsidR="00206A9D" w:rsidRPr="00474B7B" w:rsidRDefault="00B17B6B" w:rsidP="000D12FB">
      <w:pPr>
        <w:jc w:val="center"/>
        <w:rPr>
          <w:smallCaps/>
          <w:sz w:val="40"/>
          <w:szCs w:val="36"/>
        </w:rPr>
      </w:pPr>
      <w:r w:rsidRPr="00474B7B">
        <w:rPr>
          <w:smallCaps/>
          <w:sz w:val="40"/>
          <w:szCs w:val="36"/>
        </w:rPr>
        <w:t xml:space="preserve">the </w:t>
      </w:r>
      <w:r w:rsidR="00F47E58" w:rsidRPr="00474B7B">
        <w:rPr>
          <w:smallCaps/>
          <w:sz w:val="40"/>
          <w:szCs w:val="36"/>
        </w:rPr>
        <w:t>annual Appropriation Acts</w:t>
      </w:r>
    </w:p>
    <w:p w:rsidR="00BC6E2B" w:rsidRPr="00474B7B" w:rsidRDefault="00F47E58" w:rsidP="000D12FB">
      <w:pPr>
        <w:jc w:val="center"/>
        <w:rPr>
          <w:smallCaps/>
          <w:sz w:val="40"/>
          <w:szCs w:val="36"/>
        </w:rPr>
      </w:pPr>
      <w:r w:rsidRPr="00474B7B">
        <w:rPr>
          <w:smallCaps/>
          <w:sz w:val="40"/>
          <w:szCs w:val="36"/>
        </w:rPr>
        <w:t>for the year ended 30 June 2013</w:t>
      </w:r>
    </w:p>
    <w:p w:rsidR="00F47E58" w:rsidRPr="003D7BE6" w:rsidRDefault="00F47E58" w:rsidP="00B17B6B">
      <w:pPr>
        <w:tabs>
          <w:tab w:val="left" w:pos="6069"/>
        </w:tabs>
        <w:rPr>
          <w:smallCaps/>
          <w:sz w:val="36"/>
          <w:szCs w:val="36"/>
        </w:rPr>
      </w:pPr>
    </w:p>
    <w:p w:rsidR="00BC6E2B" w:rsidRPr="003D7BE6" w:rsidRDefault="00BC6E2B" w:rsidP="003D7BE6">
      <w:pPr>
        <w:rPr>
          <w:smallCaps/>
          <w:sz w:val="36"/>
          <w:szCs w:val="36"/>
        </w:rPr>
      </w:pPr>
    </w:p>
    <w:p w:rsidR="00B1048F" w:rsidRPr="003D7BE6" w:rsidRDefault="00B1048F" w:rsidP="003D7BE6">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64BD2" w:rsidRPr="00CE6795" w:rsidRDefault="00E409FD" w:rsidP="003D7BE6">
      <w:pPr>
        <w:rPr>
          <w:sz w:val="22"/>
          <w:szCs w:val="22"/>
        </w:rPr>
      </w:pPr>
      <w:r w:rsidRPr="003D7BE6">
        <w:br w:type="page"/>
      </w:r>
      <w:r w:rsidRPr="00CE6795">
        <w:rPr>
          <w:sz w:val="22"/>
          <w:szCs w:val="22"/>
        </w:rPr>
        <w:lastRenderedPageBreak/>
        <w:sym w:font="Symbol" w:char="F0D3"/>
      </w:r>
      <w:r w:rsidR="00A75111" w:rsidRPr="00CE6795">
        <w:rPr>
          <w:sz w:val="22"/>
          <w:szCs w:val="22"/>
        </w:rPr>
        <w:t xml:space="preserve"> Commonwealth of Australia </w:t>
      </w:r>
      <w:r w:rsidR="00196023" w:rsidRPr="00CE6795">
        <w:rPr>
          <w:sz w:val="22"/>
          <w:szCs w:val="22"/>
        </w:rPr>
        <w:t>201</w:t>
      </w:r>
      <w:r w:rsidR="000D12FB" w:rsidRPr="00CE6795">
        <w:rPr>
          <w:sz w:val="22"/>
          <w:szCs w:val="22"/>
        </w:rPr>
        <w:t>4</w:t>
      </w:r>
    </w:p>
    <w:p w:rsidR="00DD35BF" w:rsidRPr="00CE6795" w:rsidRDefault="00DD35BF" w:rsidP="003D7BE6">
      <w:pPr>
        <w:rPr>
          <w:sz w:val="22"/>
          <w:szCs w:val="22"/>
        </w:rPr>
      </w:pPr>
      <w:r w:rsidRPr="00CE6795">
        <w:rPr>
          <w:sz w:val="22"/>
          <w:szCs w:val="22"/>
        </w:rPr>
        <w:t xml:space="preserve">ISBN </w:t>
      </w:r>
      <w:r w:rsidR="003C0649" w:rsidRPr="00CE6795">
        <w:rPr>
          <w:sz w:val="22"/>
          <w:szCs w:val="22"/>
        </w:rPr>
        <w:t>978-1-922096-28-9</w:t>
      </w:r>
    </w:p>
    <w:p w:rsidR="00B9242B" w:rsidRDefault="00F64BD2" w:rsidP="00CE6795">
      <w:pPr>
        <w:rPr>
          <w:sz w:val="22"/>
          <w:szCs w:val="22"/>
        </w:rPr>
      </w:pPr>
      <w:r w:rsidRPr="00625AEC">
        <w:rPr>
          <w:sz w:val="22"/>
          <w:szCs w:val="22"/>
        </w:rPr>
        <w:t xml:space="preserve">With the exception of the Commonwealth Coat of Arms, all material presented in this document is provided under a Creative Commons Attribution 3.0 Australia </w:t>
      </w:r>
      <w:r w:rsidRPr="00625AEC">
        <w:rPr>
          <w:sz w:val="22"/>
          <w:szCs w:val="22"/>
          <w:u w:val="single"/>
        </w:rPr>
        <w:t>(</w:t>
      </w:r>
      <w:hyperlink r:id="rId12" w:history="1">
        <w:r w:rsidRPr="00625AEC">
          <w:rPr>
            <w:sz w:val="22"/>
            <w:szCs w:val="22"/>
            <w:u w:val="single"/>
          </w:rPr>
          <w:t>http://creativecommons.org/licenses/by/3.0/au/</w:t>
        </w:r>
      </w:hyperlink>
      <w:r w:rsidR="00DD35BF" w:rsidRPr="00625AEC">
        <w:rPr>
          <w:sz w:val="22"/>
          <w:szCs w:val="22"/>
          <w:u w:val="single"/>
        </w:rPr>
        <w:t>)</w:t>
      </w:r>
      <w:r w:rsidR="00DD35BF" w:rsidRPr="00625AEC">
        <w:rPr>
          <w:sz w:val="22"/>
          <w:szCs w:val="22"/>
        </w:rPr>
        <w:t xml:space="preserve"> </w:t>
      </w:r>
      <w:r w:rsidRPr="00625AEC">
        <w:rPr>
          <w:sz w:val="22"/>
          <w:szCs w:val="22"/>
        </w:rPr>
        <w:t xml:space="preserve">licence. </w:t>
      </w:r>
    </w:p>
    <w:p w:rsidR="00CE6795" w:rsidRPr="00625AEC" w:rsidRDefault="00F64BD2" w:rsidP="00CE6795">
      <w:pPr>
        <w:rPr>
          <w:sz w:val="22"/>
          <w:szCs w:val="22"/>
        </w:rPr>
      </w:pPr>
      <w:r w:rsidRPr="00625AEC">
        <w:rPr>
          <w:sz w:val="22"/>
          <w:szCs w:val="22"/>
        </w:rPr>
        <w:t>To the extent that copyright subsists in a third party, permission will be required from the third party to reuse the material.</w:t>
      </w:r>
    </w:p>
    <w:p w:rsidR="00CE6795" w:rsidRPr="00CE6795" w:rsidRDefault="00CE6795" w:rsidP="00CE6795"/>
    <w:p w:rsidR="00F64BD2" w:rsidRPr="003D7BE6" w:rsidRDefault="00533AEF" w:rsidP="003D7BE6">
      <w:r w:rsidRPr="003D7BE6">
        <w:rPr>
          <w:noProof/>
          <w:lang w:eastAsia="en-A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38200" cy="295275"/>
            <wp:effectExtent l="19050" t="0" r="0" b="0"/>
            <wp:wrapSquare wrapText="bothSides"/>
            <wp:docPr id="2"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pic:spPr>
                </pic:pic>
              </a:graphicData>
            </a:graphic>
          </wp:anchor>
        </w:drawing>
      </w:r>
    </w:p>
    <w:p w:rsidR="000D12FB" w:rsidRDefault="000D12FB" w:rsidP="000D12FB"/>
    <w:p w:rsidR="000D12FB" w:rsidRPr="00CE6795" w:rsidRDefault="000D12FB" w:rsidP="000D12FB">
      <w:pPr>
        <w:rPr>
          <w:sz w:val="22"/>
          <w:szCs w:val="22"/>
        </w:rPr>
      </w:pPr>
      <w:r w:rsidRPr="00CE6795">
        <w:rPr>
          <w:sz w:val="22"/>
          <w:szCs w:val="22"/>
        </w:rPr>
        <w:t xml:space="preserve">The document is to be attributed as the </w:t>
      </w:r>
      <w:r w:rsidRPr="00CE6795">
        <w:rPr>
          <w:i/>
          <w:sz w:val="22"/>
          <w:szCs w:val="22"/>
        </w:rPr>
        <w:t xml:space="preserve">Commonwealth of </w:t>
      </w:r>
      <w:proofErr w:type="gramStart"/>
      <w:r w:rsidRPr="00CE6795">
        <w:rPr>
          <w:i/>
          <w:sz w:val="22"/>
          <w:szCs w:val="22"/>
        </w:rPr>
        <w:t>Australia,</w:t>
      </w:r>
      <w:proofErr w:type="gramEnd"/>
      <w:r w:rsidRPr="00CE6795">
        <w:rPr>
          <w:i/>
          <w:sz w:val="22"/>
          <w:szCs w:val="22"/>
        </w:rPr>
        <w:t xml:space="preserve"> Report on Advances provided under the annual Appropriation Acts </w:t>
      </w:r>
      <w:r w:rsidR="00B52701" w:rsidRPr="00B52701">
        <w:rPr>
          <w:i/>
          <w:sz w:val="22"/>
          <w:szCs w:val="22"/>
        </w:rPr>
        <w:t>for the year ended 30 June 2013</w:t>
      </w:r>
      <w:r w:rsidRPr="00CE6795">
        <w:rPr>
          <w:sz w:val="22"/>
          <w:szCs w:val="22"/>
        </w:rPr>
        <w:t>.</w:t>
      </w:r>
    </w:p>
    <w:p w:rsidR="00F64BD2" w:rsidRPr="000D12FB" w:rsidRDefault="00F64BD2" w:rsidP="003D7BE6">
      <w:pPr>
        <w:rPr>
          <w:b/>
        </w:rPr>
      </w:pPr>
      <w:r w:rsidRPr="000D12FB">
        <w:rPr>
          <w:b/>
        </w:rPr>
        <w:t>Contact Us</w:t>
      </w:r>
    </w:p>
    <w:p w:rsidR="00F64BD2" w:rsidRPr="00CE6795" w:rsidRDefault="00F64BD2" w:rsidP="003D7BE6">
      <w:pPr>
        <w:rPr>
          <w:sz w:val="22"/>
          <w:szCs w:val="22"/>
        </w:rPr>
      </w:pPr>
      <w:r w:rsidRPr="00CE6795">
        <w:rPr>
          <w:sz w:val="22"/>
          <w:szCs w:val="22"/>
        </w:rPr>
        <w:t>Inquiries regarding the licence and any use of this document are welcome at:</w:t>
      </w:r>
    </w:p>
    <w:p w:rsidR="00330773" w:rsidRPr="00CE6795" w:rsidRDefault="00330773" w:rsidP="00B9242B">
      <w:pPr>
        <w:spacing w:after="0"/>
        <w:ind w:left="567"/>
        <w:rPr>
          <w:sz w:val="22"/>
          <w:szCs w:val="22"/>
        </w:rPr>
      </w:pPr>
      <w:r w:rsidRPr="00CE6795">
        <w:rPr>
          <w:sz w:val="22"/>
          <w:szCs w:val="22"/>
        </w:rPr>
        <w:t>Director</w:t>
      </w:r>
      <w:r w:rsidR="00A75E38" w:rsidRPr="00CE6795">
        <w:rPr>
          <w:sz w:val="22"/>
          <w:szCs w:val="22"/>
        </w:rPr>
        <w:t xml:space="preserve">, </w:t>
      </w:r>
      <w:r w:rsidR="00322E96" w:rsidRPr="00CE6795">
        <w:rPr>
          <w:sz w:val="22"/>
          <w:szCs w:val="22"/>
        </w:rPr>
        <w:t>Communications and Public Affairs</w:t>
      </w:r>
    </w:p>
    <w:p w:rsidR="00322E96" w:rsidRPr="00CE6795" w:rsidRDefault="00322E96" w:rsidP="00B9242B">
      <w:pPr>
        <w:spacing w:after="0"/>
        <w:ind w:left="567"/>
        <w:rPr>
          <w:sz w:val="22"/>
          <w:szCs w:val="22"/>
        </w:rPr>
      </w:pPr>
      <w:r w:rsidRPr="00CE6795">
        <w:rPr>
          <w:sz w:val="22"/>
          <w:szCs w:val="22"/>
        </w:rPr>
        <w:t>Department of Finance</w:t>
      </w:r>
    </w:p>
    <w:p w:rsidR="00322E96" w:rsidRPr="00CE6795" w:rsidRDefault="00322E96" w:rsidP="00B9242B">
      <w:pPr>
        <w:spacing w:after="0"/>
        <w:ind w:left="567"/>
        <w:rPr>
          <w:sz w:val="22"/>
          <w:szCs w:val="22"/>
        </w:rPr>
      </w:pPr>
      <w:r w:rsidRPr="00CE6795">
        <w:rPr>
          <w:sz w:val="22"/>
          <w:szCs w:val="22"/>
        </w:rPr>
        <w:t>John Gorton Building</w:t>
      </w:r>
    </w:p>
    <w:p w:rsidR="00322E96" w:rsidRPr="00CE6795" w:rsidRDefault="00322E96" w:rsidP="00B9242B">
      <w:pPr>
        <w:spacing w:after="0"/>
        <w:ind w:left="567"/>
        <w:rPr>
          <w:sz w:val="22"/>
          <w:szCs w:val="22"/>
        </w:rPr>
      </w:pPr>
      <w:r w:rsidRPr="00CE6795">
        <w:rPr>
          <w:sz w:val="22"/>
          <w:szCs w:val="22"/>
        </w:rPr>
        <w:t>King Edward Terrace</w:t>
      </w:r>
    </w:p>
    <w:p w:rsidR="00322E96" w:rsidRPr="00CE6795" w:rsidRDefault="00A75E38" w:rsidP="00B9242B">
      <w:pPr>
        <w:spacing w:after="0"/>
        <w:ind w:left="567"/>
        <w:rPr>
          <w:sz w:val="22"/>
          <w:szCs w:val="22"/>
        </w:rPr>
      </w:pPr>
      <w:r w:rsidRPr="00CE6795">
        <w:rPr>
          <w:sz w:val="22"/>
          <w:szCs w:val="22"/>
        </w:rPr>
        <w:t>PARKES ACT 2600</w:t>
      </w:r>
    </w:p>
    <w:p w:rsidR="00A75E38" w:rsidRPr="00CE6795" w:rsidRDefault="00A75E38" w:rsidP="00B9242B">
      <w:pPr>
        <w:spacing w:after="0"/>
        <w:ind w:left="567"/>
        <w:rPr>
          <w:sz w:val="22"/>
          <w:szCs w:val="22"/>
        </w:rPr>
      </w:pPr>
      <w:r w:rsidRPr="00CE6795">
        <w:rPr>
          <w:sz w:val="22"/>
          <w:szCs w:val="22"/>
        </w:rPr>
        <w:t>AUSTRALIA</w:t>
      </w:r>
    </w:p>
    <w:p w:rsidR="00322E96" w:rsidRPr="00CE6795" w:rsidRDefault="00322E96" w:rsidP="00B9242B">
      <w:pPr>
        <w:ind w:left="567"/>
        <w:rPr>
          <w:sz w:val="22"/>
          <w:szCs w:val="22"/>
        </w:rPr>
      </w:pPr>
      <w:r w:rsidRPr="00CE6795">
        <w:rPr>
          <w:sz w:val="22"/>
          <w:szCs w:val="22"/>
        </w:rPr>
        <w:t xml:space="preserve">Email: </w:t>
      </w:r>
      <w:hyperlink r:id="rId14" w:history="1">
        <w:r w:rsidR="00A75E38" w:rsidRPr="00CE6795">
          <w:rPr>
            <w:rStyle w:val="Hyperlink"/>
            <w:color w:val="auto"/>
            <w:sz w:val="22"/>
            <w:szCs w:val="22"/>
          </w:rPr>
          <w:t>CAPA@finance.gov.au</w:t>
        </w:r>
      </w:hyperlink>
    </w:p>
    <w:p w:rsidR="00B9242B" w:rsidRPr="00CE6795" w:rsidRDefault="00B9242B" w:rsidP="00B9242B">
      <w:pPr>
        <w:rPr>
          <w:sz w:val="22"/>
          <w:szCs w:val="22"/>
        </w:rPr>
      </w:pPr>
    </w:p>
    <w:p w:rsidR="00B9242B" w:rsidRPr="000D12FB" w:rsidRDefault="00B9242B" w:rsidP="00B9242B">
      <w:pPr>
        <w:rPr>
          <w:b/>
        </w:rPr>
      </w:pPr>
      <w:r w:rsidRPr="000D12FB">
        <w:rPr>
          <w:b/>
        </w:rPr>
        <w:t>Use of the Coat of Arms</w:t>
      </w:r>
    </w:p>
    <w:p w:rsidR="00B9242B" w:rsidRPr="00CE6795" w:rsidRDefault="00B9242B" w:rsidP="00B9242B">
      <w:pPr>
        <w:rPr>
          <w:sz w:val="22"/>
          <w:szCs w:val="22"/>
        </w:rPr>
      </w:pPr>
      <w:r w:rsidRPr="00CE6795">
        <w:rPr>
          <w:sz w:val="22"/>
          <w:szCs w:val="22"/>
        </w:rPr>
        <w:t xml:space="preserve">The terms under which the Coat of Arms can be used are detailed on the </w:t>
      </w:r>
      <w:hyperlink r:id="rId15" w:history="1">
        <w:r w:rsidRPr="00CE6795">
          <w:rPr>
            <w:sz w:val="22"/>
            <w:szCs w:val="22"/>
          </w:rPr>
          <w:t>following</w:t>
        </w:r>
      </w:hyperlink>
      <w:r w:rsidRPr="00CE6795">
        <w:rPr>
          <w:sz w:val="22"/>
          <w:szCs w:val="22"/>
        </w:rPr>
        <w:t xml:space="preserve"> website:  </w:t>
      </w:r>
      <w:hyperlink r:id="rId16" w:history="1">
        <w:r w:rsidRPr="00CE6795">
          <w:rPr>
            <w:sz w:val="22"/>
            <w:szCs w:val="22"/>
            <w:u w:val="single"/>
          </w:rPr>
          <w:t>http://www.itsanhonour.gov.au/coat</w:t>
        </w:r>
        <w:r w:rsidRPr="00CE6795">
          <w:rPr>
            <w:sz w:val="22"/>
            <w:szCs w:val="22"/>
            <w:u w:val="single"/>
          </w:rPr>
          <w:noBreakHyphen/>
          <w:t>arms/</w:t>
        </w:r>
      </w:hyperlink>
    </w:p>
    <w:p w:rsidR="00E73304" w:rsidRPr="000D12FB" w:rsidRDefault="003E03FD" w:rsidP="003D7BE6">
      <w:pPr>
        <w:tabs>
          <w:tab w:val="left" w:pos="284"/>
        </w:tabs>
        <w:rPr>
          <w:b/>
        </w:rPr>
      </w:pPr>
      <w:r w:rsidRPr="000D12FB">
        <w:rPr>
          <w:b/>
        </w:rPr>
        <w:t>Internet</w:t>
      </w:r>
    </w:p>
    <w:p w:rsidR="00E73304" w:rsidRPr="00CE6795" w:rsidRDefault="003E03FD" w:rsidP="003D7BE6">
      <w:pPr>
        <w:tabs>
          <w:tab w:val="left" w:pos="284"/>
        </w:tabs>
        <w:rPr>
          <w:sz w:val="22"/>
          <w:szCs w:val="22"/>
        </w:rPr>
      </w:pPr>
      <w:r w:rsidRPr="00CE6795">
        <w:rPr>
          <w:sz w:val="22"/>
          <w:szCs w:val="22"/>
        </w:rPr>
        <w:t xml:space="preserve">This annual report can be downloaded from the Department’s web site at: </w:t>
      </w:r>
      <w:hyperlink r:id="rId17" w:history="1">
        <w:r w:rsidR="00A75E38" w:rsidRPr="00CE6795">
          <w:rPr>
            <w:rStyle w:val="Hyperlink"/>
            <w:color w:val="auto"/>
            <w:sz w:val="22"/>
            <w:szCs w:val="22"/>
          </w:rPr>
          <w:t>www.finance.gov.au/publications/advance_to_the_finance_minister/index.html</w:t>
        </w:r>
      </w:hyperlink>
    </w:p>
    <w:p w:rsidR="00616958" w:rsidRPr="00CE6795" w:rsidRDefault="00616958" w:rsidP="003D7BE6">
      <w:pPr>
        <w:tabs>
          <w:tab w:val="left" w:pos="284"/>
        </w:tabs>
        <w:rPr>
          <w:sz w:val="22"/>
          <w:szCs w:val="22"/>
        </w:rPr>
      </w:pPr>
    </w:p>
    <w:p w:rsidR="00CB70F1" w:rsidRPr="00B9242B" w:rsidRDefault="00CB70F1" w:rsidP="00B9242B">
      <w:pPr>
        <w:jc w:val="center"/>
        <w:rPr>
          <w:rFonts w:asciiTheme="minorHAnsi" w:hAnsiTheme="minorHAnsi"/>
          <w:b/>
          <w:sz w:val="32"/>
          <w:szCs w:val="32"/>
        </w:rPr>
      </w:pPr>
      <w:r w:rsidRPr="00B9242B">
        <w:rPr>
          <w:rFonts w:asciiTheme="minorHAnsi" w:hAnsiTheme="minorHAnsi"/>
          <w:b/>
          <w:sz w:val="32"/>
          <w:szCs w:val="32"/>
        </w:rPr>
        <w:t>Table of Abbreviations &amp; Acronyms</w:t>
      </w:r>
    </w:p>
    <w:tbl>
      <w:tblPr>
        <w:tblStyle w:val="TableClassic1"/>
        <w:tblW w:w="0" w:type="auto"/>
        <w:tblLook w:val="04A0"/>
      </w:tblPr>
      <w:tblGrid>
        <w:gridCol w:w="2802"/>
        <w:gridCol w:w="6485"/>
      </w:tblGrid>
      <w:tr w:rsidR="00CB70F1" w:rsidRPr="00CE6795" w:rsidTr="00567A7B">
        <w:trPr>
          <w:cnfStyle w:val="100000000000"/>
        </w:trPr>
        <w:tc>
          <w:tcPr>
            <w:cnfStyle w:val="001000000000"/>
            <w:tcW w:w="2802" w:type="dxa"/>
          </w:tcPr>
          <w:p w:rsidR="00CB70F1" w:rsidRPr="00CE6795" w:rsidRDefault="00CB70F1" w:rsidP="00567A7B">
            <w:pPr>
              <w:spacing w:after="0"/>
              <w:rPr>
                <w:b/>
                <w:sz w:val="22"/>
                <w:szCs w:val="22"/>
              </w:rPr>
            </w:pPr>
            <w:r w:rsidRPr="00CE6795">
              <w:rPr>
                <w:b/>
                <w:sz w:val="22"/>
                <w:szCs w:val="22"/>
              </w:rPr>
              <w:t>Abbreviation/Acronym</w:t>
            </w:r>
          </w:p>
        </w:tc>
        <w:tc>
          <w:tcPr>
            <w:tcW w:w="6485" w:type="dxa"/>
          </w:tcPr>
          <w:p w:rsidR="00CB70F1" w:rsidRPr="00CE6795" w:rsidRDefault="00CB70F1" w:rsidP="00567A7B">
            <w:pPr>
              <w:spacing w:after="0"/>
              <w:cnfStyle w:val="100000000000"/>
              <w:rPr>
                <w:b/>
                <w:sz w:val="22"/>
                <w:szCs w:val="22"/>
              </w:rPr>
            </w:pPr>
            <w:r w:rsidRPr="00CE6795">
              <w:rPr>
                <w:b/>
                <w:sz w:val="22"/>
                <w:szCs w:val="22"/>
              </w:rPr>
              <w:t>Definition</w:t>
            </w:r>
          </w:p>
        </w:tc>
      </w:tr>
      <w:tr w:rsidR="00CB70F1" w:rsidRPr="00CE6795" w:rsidTr="00567A7B">
        <w:tc>
          <w:tcPr>
            <w:cnfStyle w:val="001000000000"/>
            <w:tcW w:w="2802" w:type="dxa"/>
          </w:tcPr>
          <w:p w:rsidR="00CB70F1" w:rsidRPr="00CE6795" w:rsidRDefault="00CB70F1" w:rsidP="00567A7B">
            <w:pPr>
              <w:spacing w:after="0"/>
              <w:rPr>
                <w:sz w:val="22"/>
                <w:szCs w:val="22"/>
              </w:rPr>
            </w:pPr>
            <w:r w:rsidRPr="00CE6795">
              <w:rPr>
                <w:sz w:val="22"/>
                <w:szCs w:val="22"/>
              </w:rPr>
              <w:t>AFM</w:t>
            </w:r>
          </w:p>
        </w:tc>
        <w:tc>
          <w:tcPr>
            <w:tcW w:w="6485" w:type="dxa"/>
          </w:tcPr>
          <w:p w:rsidR="00CB70F1" w:rsidRPr="00CE6795" w:rsidRDefault="00CB70F1" w:rsidP="00567A7B">
            <w:pPr>
              <w:spacing w:after="0"/>
              <w:cnfStyle w:val="000000000000"/>
              <w:rPr>
                <w:sz w:val="22"/>
                <w:szCs w:val="22"/>
              </w:rPr>
            </w:pPr>
            <w:r w:rsidRPr="00CE6795">
              <w:rPr>
                <w:noProof/>
                <w:sz w:val="22"/>
                <w:szCs w:val="22"/>
              </w:rPr>
              <w:t>Advance to the Finance Minister</w:t>
            </w:r>
          </w:p>
        </w:tc>
      </w:tr>
      <w:tr w:rsidR="00CB70F1" w:rsidRPr="00CE6795" w:rsidTr="00567A7B">
        <w:tc>
          <w:tcPr>
            <w:cnfStyle w:val="001000000000"/>
            <w:tcW w:w="2802" w:type="dxa"/>
          </w:tcPr>
          <w:p w:rsidR="00CB70F1" w:rsidRPr="00CE6795" w:rsidRDefault="00CB70F1" w:rsidP="00567A7B">
            <w:pPr>
              <w:spacing w:after="0"/>
              <w:rPr>
                <w:sz w:val="22"/>
                <w:szCs w:val="22"/>
              </w:rPr>
            </w:pPr>
            <w:r w:rsidRPr="00CE6795">
              <w:rPr>
                <w:sz w:val="22"/>
                <w:szCs w:val="22"/>
              </w:rPr>
              <w:t>ANAO</w:t>
            </w:r>
          </w:p>
        </w:tc>
        <w:tc>
          <w:tcPr>
            <w:tcW w:w="6485" w:type="dxa"/>
          </w:tcPr>
          <w:p w:rsidR="00CB70F1" w:rsidRPr="00CE6795" w:rsidRDefault="00CB70F1" w:rsidP="00567A7B">
            <w:pPr>
              <w:spacing w:after="0"/>
              <w:cnfStyle w:val="000000000000"/>
              <w:rPr>
                <w:sz w:val="22"/>
                <w:szCs w:val="22"/>
              </w:rPr>
            </w:pPr>
            <w:r w:rsidRPr="00CE6795">
              <w:rPr>
                <w:noProof/>
                <w:sz w:val="22"/>
                <w:szCs w:val="22"/>
              </w:rPr>
              <w:t>Australian National Audit Office</w:t>
            </w:r>
          </w:p>
        </w:tc>
      </w:tr>
      <w:tr w:rsidR="00CB70F1" w:rsidRPr="00CE6795" w:rsidTr="00567A7B">
        <w:tc>
          <w:tcPr>
            <w:cnfStyle w:val="001000000000"/>
            <w:tcW w:w="2802" w:type="dxa"/>
          </w:tcPr>
          <w:p w:rsidR="00CB70F1" w:rsidRPr="00CE6795" w:rsidRDefault="00CB70F1" w:rsidP="00567A7B">
            <w:pPr>
              <w:spacing w:after="0"/>
              <w:rPr>
                <w:sz w:val="22"/>
                <w:szCs w:val="22"/>
              </w:rPr>
            </w:pPr>
            <w:r w:rsidRPr="00CE6795">
              <w:rPr>
                <w:sz w:val="22"/>
                <w:szCs w:val="22"/>
              </w:rPr>
              <w:t>DEEWR</w:t>
            </w:r>
          </w:p>
        </w:tc>
        <w:tc>
          <w:tcPr>
            <w:tcW w:w="6485" w:type="dxa"/>
          </w:tcPr>
          <w:p w:rsidR="00CB70F1" w:rsidRPr="00CE6795" w:rsidRDefault="00CB70F1" w:rsidP="00567A7B">
            <w:pPr>
              <w:spacing w:after="0"/>
              <w:cnfStyle w:val="000000000000"/>
              <w:rPr>
                <w:sz w:val="22"/>
                <w:szCs w:val="22"/>
              </w:rPr>
            </w:pPr>
            <w:r w:rsidRPr="00CE6795">
              <w:rPr>
                <w:noProof/>
                <w:sz w:val="22"/>
                <w:szCs w:val="22"/>
              </w:rPr>
              <w:t>Department of Education, Employment and Workplace Relations</w:t>
            </w:r>
          </w:p>
        </w:tc>
      </w:tr>
      <w:tr w:rsidR="00CB70F1" w:rsidRPr="00CE6795" w:rsidTr="00567A7B">
        <w:tc>
          <w:tcPr>
            <w:cnfStyle w:val="001000000000"/>
            <w:tcW w:w="2802" w:type="dxa"/>
          </w:tcPr>
          <w:p w:rsidR="00CB70F1" w:rsidRPr="00CE6795" w:rsidRDefault="00CB70F1" w:rsidP="00567A7B">
            <w:pPr>
              <w:spacing w:after="0"/>
              <w:rPr>
                <w:sz w:val="22"/>
                <w:szCs w:val="22"/>
              </w:rPr>
            </w:pPr>
            <w:r w:rsidRPr="00CE6795">
              <w:rPr>
                <w:sz w:val="22"/>
                <w:szCs w:val="22"/>
              </w:rPr>
              <w:t>DRALGAS</w:t>
            </w:r>
          </w:p>
        </w:tc>
        <w:tc>
          <w:tcPr>
            <w:tcW w:w="6485" w:type="dxa"/>
          </w:tcPr>
          <w:p w:rsidR="00CB70F1" w:rsidRPr="00CE6795" w:rsidRDefault="00CB70F1" w:rsidP="00567A7B">
            <w:pPr>
              <w:spacing w:after="0"/>
              <w:cnfStyle w:val="000000000000"/>
              <w:rPr>
                <w:sz w:val="22"/>
                <w:szCs w:val="22"/>
              </w:rPr>
            </w:pPr>
            <w:r w:rsidRPr="00CE6795">
              <w:rPr>
                <w:noProof/>
                <w:sz w:val="22"/>
                <w:szCs w:val="22"/>
              </w:rPr>
              <w:t>Department of Regional Australia, Local Government, Arts and Sport</w:t>
            </w:r>
          </w:p>
        </w:tc>
      </w:tr>
      <w:tr w:rsidR="00CB70F1" w:rsidRPr="00CE6795" w:rsidTr="00567A7B">
        <w:tc>
          <w:tcPr>
            <w:cnfStyle w:val="001000000000"/>
            <w:tcW w:w="2802" w:type="dxa"/>
          </w:tcPr>
          <w:p w:rsidR="00CB70F1" w:rsidRPr="00CE6795" w:rsidRDefault="00CB70F1" w:rsidP="00567A7B">
            <w:pPr>
              <w:spacing w:after="0"/>
              <w:rPr>
                <w:sz w:val="22"/>
                <w:szCs w:val="22"/>
              </w:rPr>
            </w:pPr>
            <w:r w:rsidRPr="00CE6795">
              <w:rPr>
                <w:sz w:val="22"/>
                <w:szCs w:val="22"/>
              </w:rPr>
              <w:t>FaHCSIA</w:t>
            </w:r>
          </w:p>
        </w:tc>
        <w:tc>
          <w:tcPr>
            <w:tcW w:w="6485" w:type="dxa"/>
          </w:tcPr>
          <w:p w:rsidR="00CB70F1" w:rsidRPr="00CE6795" w:rsidRDefault="00CB70F1" w:rsidP="00567A7B">
            <w:pPr>
              <w:spacing w:after="0"/>
              <w:cnfStyle w:val="000000000000"/>
              <w:rPr>
                <w:sz w:val="22"/>
                <w:szCs w:val="22"/>
              </w:rPr>
            </w:pPr>
            <w:r w:rsidRPr="00CE6795">
              <w:rPr>
                <w:noProof/>
                <w:sz w:val="22"/>
                <w:szCs w:val="22"/>
              </w:rPr>
              <w:t>Department of Families, Housing, Community Services and Indigenous Affairs</w:t>
            </w:r>
          </w:p>
        </w:tc>
      </w:tr>
      <w:tr w:rsidR="00CB70F1" w:rsidRPr="00CE6795" w:rsidTr="00567A7B">
        <w:tc>
          <w:tcPr>
            <w:cnfStyle w:val="001000000000"/>
            <w:tcW w:w="2802" w:type="dxa"/>
          </w:tcPr>
          <w:p w:rsidR="00CB70F1" w:rsidRPr="00CE6795" w:rsidRDefault="00CB70F1" w:rsidP="00567A7B">
            <w:pPr>
              <w:spacing w:after="0"/>
              <w:rPr>
                <w:sz w:val="22"/>
                <w:szCs w:val="22"/>
              </w:rPr>
            </w:pPr>
            <w:r w:rsidRPr="00CE6795">
              <w:rPr>
                <w:sz w:val="22"/>
                <w:szCs w:val="22"/>
              </w:rPr>
              <w:t>Finance</w:t>
            </w:r>
          </w:p>
        </w:tc>
        <w:tc>
          <w:tcPr>
            <w:tcW w:w="6485" w:type="dxa"/>
          </w:tcPr>
          <w:p w:rsidR="00CB70F1" w:rsidRPr="00CE6795" w:rsidRDefault="00CB70F1" w:rsidP="00567A7B">
            <w:pPr>
              <w:spacing w:after="0"/>
              <w:cnfStyle w:val="000000000000"/>
              <w:rPr>
                <w:sz w:val="22"/>
                <w:szCs w:val="22"/>
              </w:rPr>
            </w:pPr>
            <w:r w:rsidRPr="00CE6795">
              <w:rPr>
                <w:sz w:val="22"/>
                <w:szCs w:val="22"/>
              </w:rPr>
              <w:t>Department of Finance</w:t>
            </w:r>
          </w:p>
        </w:tc>
      </w:tr>
      <w:tr w:rsidR="009D677F" w:rsidRPr="00CE6795" w:rsidTr="00567A7B">
        <w:tc>
          <w:tcPr>
            <w:cnfStyle w:val="001000000000"/>
            <w:tcW w:w="2802" w:type="dxa"/>
          </w:tcPr>
          <w:p w:rsidR="009D677F" w:rsidRPr="00CE6795" w:rsidRDefault="009D677F" w:rsidP="00567A7B">
            <w:pPr>
              <w:spacing w:after="0"/>
              <w:rPr>
                <w:sz w:val="22"/>
                <w:szCs w:val="22"/>
              </w:rPr>
            </w:pPr>
            <w:r>
              <w:rPr>
                <w:sz w:val="22"/>
                <w:szCs w:val="22"/>
              </w:rPr>
              <w:t>GEERS</w:t>
            </w:r>
          </w:p>
        </w:tc>
        <w:tc>
          <w:tcPr>
            <w:tcW w:w="6485" w:type="dxa"/>
          </w:tcPr>
          <w:p w:rsidR="009D677F" w:rsidRPr="00CE6795" w:rsidRDefault="009D677F" w:rsidP="00567A7B">
            <w:pPr>
              <w:spacing w:after="0"/>
              <w:cnfStyle w:val="000000000000"/>
              <w:rPr>
                <w:sz w:val="22"/>
                <w:szCs w:val="22"/>
              </w:rPr>
            </w:pPr>
            <w:r w:rsidRPr="009D677F">
              <w:rPr>
                <w:sz w:val="22"/>
                <w:szCs w:val="22"/>
              </w:rPr>
              <w:t>General Employee Entitlements and Redundancy Scheme</w:t>
            </w:r>
          </w:p>
        </w:tc>
      </w:tr>
      <w:tr w:rsidR="00CB70F1" w:rsidRPr="00CE6795" w:rsidTr="00567A7B">
        <w:tc>
          <w:tcPr>
            <w:cnfStyle w:val="001000000000"/>
            <w:tcW w:w="2802" w:type="dxa"/>
          </w:tcPr>
          <w:p w:rsidR="00CB70F1" w:rsidRPr="00CE6795" w:rsidRDefault="00CB70F1" w:rsidP="00567A7B">
            <w:pPr>
              <w:spacing w:after="0"/>
              <w:rPr>
                <w:sz w:val="22"/>
                <w:szCs w:val="22"/>
              </w:rPr>
            </w:pPr>
            <w:r w:rsidRPr="00CE6795">
              <w:rPr>
                <w:sz w:val="22"/>
                <w:szCs w:val="22"/>
              </w:rPr>
              <w:t>Health</w:t>
            </w:r>
          </w:p>
        </w:tc>
        <w:tc>
          <w:tcPr>
            <w:tcW w:w="6485" w:type="dxa"/>
          </w:tcPr>
          <w:p w:rsidR="00CB70F1" w:rsidRPr="00CE6795" w:rsidRDefault="00CB70F1" w:rsidP="00567A7B">
            <w:pPr>
              <w:spacing w:after="0"/>
              <w:cnfStyle w:val="000000000000"/>
              <w:rPr>
                <w:sz w:val="22"/>
                <w:szCs w:val="22"/>
              </w:rPr>
            </w:pPr>
            <w:r w:rsidRPr="00CE6795">
              <w:rPr>
                <w:sz w:val="22"/>
                <w:szCs w:val="22"/>
              </w:rPr>
              <w:t>Department of Health and Ageing</w:t>
            </w:r>
          </w:p>
        </w:tc>
      </w:tr>
    </w:tbl>
    <w:p w:rsidR="00CB70F1" w:rsidRPr="003D7BE6" w:rsidRDefault="00CB70F1" w:rsidP="003D7BE6">
      <w:pPr>
        <w:tabs>
          <w:tab w:val="left" w:pos="284"/>
        </w:tabs>
      </w:pPr>
    </w:p>
    <w:p w:rsidR="008C1F3B" w:rsidRDefault="008C1F3B">
      <w:pPr>
        <w:spacing w:after="0"/>
      </w:pPr>
      <w:r>
        <w:br w:type="page"/>
      </w:r>
    </w:p>
    <w:p w:rsidR="004B2624" w:rsidRPr="00B9242B" w:rsidRDefault="004B2624" w:rsidP="00B9242B">
      <w:pPr>
        <w:jc w:val="center"/>
        <w:rPr>
          <w:rFonts w:asciiTheme="minorHAnsi" w:hAnsiTheme="minorHAnsi"/>
          <w:b/>
          <w:sz w:val="32"/>
          <w:szCs w:val="32"/>
        </w:rPr>
      </w:pPr>
      <w:r w:rsidRPr="00B9242B">
        <w:rPr>
          <w:rFonts w:asciiTheme="minorHAnsi" w:hAnsiTheme="minorHAnsi"/>
          <w:b/>
          <w:sz w:val="32"/>
          <w:szCs w:val="32"/>
        </w:rPr>
        <w:lastRenderedPageBreak/>
        <w:t>Table of Contents</w:t>
      </w:r>
    </w:p>
    <w:p w:rsidR="00DE7474" w:rsidRPr="00DE7474" w:rsidRDefault="008442D7">
      <w:pPr>
        <w:pStyle w:val="TOC1"/>
        <w:tabs>
          <w:tab w:val="right" w:leader="dot" w:pos="9061"/>
        </w:tabs>
        <w:rPr>
          <w:rFonts w:eastAsiaTheme="minorEastAsia" w:cstheme="minorBidi"/>
          <w:b w:val="0"/>
          <w:bCs w:val="0"/>
          <w:caps w:val="0"/>
          <w:noProof/>
          <w:sz w:val="28"/>
          <w:szCs w:val="22"/>
          <w:lang w:eastAsia="en-AU"/>
        </w:rPr>
      </w:pPr>
      <w:r w:rsidRPr="008442D7">
        <w:rPr>
          <w:sz w:val="144"/>
        </w:rPr>
        <w:fldChar w:fldCharType="begin"/>
      </w:r>
      <w:r w:rsidR="008C1F3B" w:rsidRPr="00DE7474">
        <w:rPr>
          <w:sz w:val="144"/>
        </w:rPr>
        <w:instrText xml:space="preserve"> TOC \o "1-3" \u </w:instrText>
      </w:r>
      <w:r w:rsidRPr="008442D7">
        <w:rPr>
          <w:sz w:val="144"/>
        </w:rPr>
        <w:fldChar w:fldCharType="separate"/>
      </w:r>
      <w:r w:rsidR="00DE7474" w:rsidRPr="00DE7474">
        <w:rPr>
          <w:noProof/>
          <w:snapToGrid w:val="0"/>
          <w:sz w:val="24"/>
        </w:rPr>
        <w:t>Introduction</w:t>
      </w:r>
      <w:r w:rsidR="00DE7474" w:rsidRPr="00DE7474">
        <w:rPr>
          <w:noProof/>
          <w:sz w:val="24"/>
        </w:rPr>
        <w:tab/>
      </w:r>
      <w:r w:rsidRPr="00DE7474">
        <w:rPr>
          <w:noProof/>
          <w:sz w:val="24"/>
        </w:rPr>
        <w:fldChar w:fldCharType="begin"/>
      </w:r>
      <w:r w:rsidR="00DE7474" w:rsidRPr="00DE7474">
        <w:rPr>
          <w:noProof/>
          <w:sz w:val="24"/>
        </w:rPr>
        <w:instrText xml:space="preserve"> PAGEREF _Toc379748682 \h </w:instrText>
      </w:r>
      <w:r w:rsidRPr="00DE7474">
        <w:rPr>
          <w:noProof/>
          <w:sz w:val="24"/>
        </w:rPr>
      </w:r>
      <w:r w:rsidRPr="00DE7474">
        <w:rPr>
          <w:noProof/>
          <w:sz w:val="24"/>
        </w:rPr>
        <w:fldChar w:fldCharType="separate"/>
      </w:r>
      <w:r w:rsidR="00DE7474" w:rsidRPr="00DE7474">
        <w:rPr>
          <w:noProof/>
          <w:sz w:val="24"/>
        </w:rPr>
        <w:t>1</w:t>
      </w:r>
      <w:r w:rsidRPr="00DE7474">
        <w:rPr>
          <w:noProof/>
          <w:sz w:val="24"/>
        </w:rPr>
        <w:fldChar w:fldCharType="end"/>
      </w:r>
    </w:p>
    <w:p w:rsidR="00DE7474" w:rsidRPr="00DE7474" w:rsidRDefault="00DE7474">
      <w:pPr>
        <w:pStyle w:val="TOC2"/>
        <w:tabs>
          <w:tab w:val="right" w:leader="dot" w:pos="9061"/>
        </w:tabs>
        <w:rPr>
          <w:rFonts w:eastAsiaTheme="minorEastAsia" w:cstheme="minorBidi"/>
          <w:smallCaps w:val="0"/>
          <w:noProof/>
          <w:sz w:val="28"/>
          <w:szCs w:val="22"/>
          <w:lang w:eastAsia="en-AU"/>
        </w:rPr>
      </w:pPr>
      <w:r w:rsidRPr="00DE7474">
        <w:rPr>
          <w:noProof/>
          <w:sz w:val="24"/>
        </w:rPr>
        <w:t>Machinery of Government changes</w:t>
      </w:r>
      <w:r w:rsidRPr="00DE7474">
        <w:rPr>
          <w:noProof/>
          <w:sz w:val="24"/>
        </w:rPr>
        <w:tab/>
      </w:r>
      <w:r w:rsidR="008442D7" w:rsidRPr="00DE7474">
        <w:rPr>
          <w:noProof/>
          <w:sz w:val="24"/>
        </w:rPr>
        <w:fldChar w:fldCharType="begin"/>
      </w:r>
      <w:r w:rsidRPr="00DE7474">
        <w:rPr>
          <w:noProof/>
          <w:sz w:val="24"/>
        </w:rPr>
        <w:instrText xml:space="preserve"> PAGEREF _Toc379748683 \h </w:instrText>
      </w:r>
      <w:r w:rsidR="008442D7" w:rsidRPr="00DE7474">
        <w:rPr>
          <w:noProof/>
          <w:sz w:val="24"/>
        </w:rPr>
      </w:r>
      <w:r w:rsidR="008442D7" w:rsidRPr="00DE7474">
        <w:rPr>
          <w:noProof/>
          <w:sz w:val="24"/>
        </w:rPr>
        <w:fldChar w:fldCharType="separate"/>
      </w:r>
      <w:r w:rsidRPr="00DE7474">
        <w:rPr>
          <w:noProof/>
          <w:sz w:val="24"/>
        </w:rPr>
        <w:t>1</w:t>
      </w:r>
      <w:r w:rsidR="008442D7" w:rsidRPr="00DE7474">
        <w:rPr>
          <w:noProof/>
          <w:sz w:val="24"/>
        </w:rPr>
        <w:fldChar w:fldCharType="end"/>
      </w:r>
    </w:p>
    <w:p w:rsidR="00DE7474" w:rsidRPr="00DE7474" w:rsidRDefault="00DE7474">
      <w:pPr>
        <w:pStyle w:val="TOC2"/>
        <w:tabs>
          <w:tab w:val="right" w:leader="dot" w:pos="9061"/>
        </w:tabs>
        <w:rPr>
          <w:rFonts w:eastAsiaTheme="minorEastAsia" w:cstheme="minorBidi"/>
          <w:smallCaps w:val="0"/>
          <w:noProof/>
          <w:sz w:val="28"/>
          <w:szCs w:val="22"/>
          <w:lang w:eastAsia="en-AU"/>
        </w:rPr>
      </w:pPr>
      <w:r w:rsidRPr="00DE7474">
        <w:rPr>
          <w:noProof/>
          <w:sz w:val="24"/>
        </w:rPr>
        <w:t>Overview for 2012-13</w:t>
      </w:r>
      <w:r w:rsidRPr="00DE7474">
        <w:rPr>
          <w:noProof/>
          <w:sz w:val="24"/>
        </w:rPr>
        <w:tab/>
      </w:r>
      <w:r w:rsidR="008442D7" w:rsidRPr="00DE7474">
        <w:rPr>
          <w:noProof/>
          <w:sz w:val="24"/>
        </w:rPr>
        <w:fldChar w:fldCharType="begin"/>
      </w:r>
      <w:r w:rsidRPr="00DE7474">
        <w:rPr>
          <w:noProof/>
          <w:sz w:val="24"/>
        </w:rPr>
        <w:instrText xml:space="preserve"> PAGEREF _Toc379748684 \h </w:instrText>
      </w:r>
      <w:r w:rsidR="008442D7" w:rsidRPr="00DE7474">
        <w:rPr>
          <w:noProof/>
          <w:sz w:val="24"/>
        </w:rPr>
      </w:r>
      <w:r w:rsidR="008442D7" w:rsidRPr="00DE7474">
        <w:rPr>
          <w:noProof/>
          <w:sz w:val="24"/>
        </w:rPr>
        <w:fldChar w:fldCharType="separate"/>
      </w:r>
      <w:r w:rsidRPr="00DE7474">
        <w:rPr>
          <w:noProof/>
          <w:sz w:val="24"/>
        </w:rPr>
        <w:t>1</w:t>
      </w:r>
      <w:r w:rsidR="008442D7" w:rsidRPr="00DE7474">
        <w:rPr>
          <w:noProof/>
          <w:sz w:val="24"/>
        </w:rPr>
        <w:fldChar w:fldCharType="end"/>
      </w:r>
    </w:p>
    <w:p w:rsidR="00DE7474" w:rsidRPr="00DE7474" w:rsidRDefault="00DE7474">
      <w:pPr>
        <w:pStyle w:val="TOC2"/>
        <w:tabs>
          <w:tab w:val="right" w:leader="dot" w:pos="9061"/>
        </w:tabs>
        <w:rPr>
          <w:rFonts w:eastAsiaTheme="minorEastAsia" w:cstheme="minorBidi"/>
          <w:smallCaps w:val="0"/>
          <w:noProof/>
          <w:sz w:val="28"/>
          <w:szCs w:val="22"/>
          <w:lang w:eastAsia="en-AU"/>
        </w:rPr>
      </w:pPr>
      <w:r w:rsidRPr="00DE7474">
        <w:rPr>
          <w:noProof/>
          <w:sz w:val="24"/>
        </w:rPr>
        <w:t>Authority</w:t>
      </w:r>
      <w:r w:rsidRPr="00DE7474">
        <w:rPr>
          <w:noProof/>
          <w:sz w:val="24"/>
        </w:rPr>
        <w:tab/>
      </w:r>
      <w:r w:rsidR="008442D7" w:rsidRPr="00DE7474">
        <w:rPr>
          <w:noProof/>
          <w:sz w:val="24"/>
        </w:rPr>
        <w:fldChar w:fldCharType="begin"/>
      </w:r>
      <w:r w:rsidRPr="00DE7474">
        <w:rPr>
          <w:noProof/>
          <w:sz w:val="24"/>
        </w:rPr>
        <w:instrText xml:space="preserve"> PAGEREF _Toc379748685 \h </w:instrText>
      </w:r>
      <w:r w:rsidR="008442D7" w:rsidRPr="00DE7474">
        <w:rPr>
          <w:noProof/>
          <w:sz w:val="24"/>
        </w:rPr>
      </w:r>
      <w:r w:rsidR="008442D7" w:rsidRPr="00DE7474">
        <w:rPr>
          <w:noProof/>
          <w:sz w:val="24"/>
        </w:rPr>
        <w:fldChar w:fldCharType="separate"/>
      </w:r>
      <w:r w:rsidRPr="00DE7474">
        <w:rPr>
          <w:noProof/>
          <w:sz w:val="24"/>
        </w:rPr>
        <w:t>2</w:t>
      </w:r>
      <w:r w:rsidR="008442D7" w:rsidRPr="00DE7474">
        <w:rPr>
          <w:noProof/>
          <w:sz w:val="24"/>
        </w:rPr>
        <w:fldChar w:fldCharType="end"/>
      </w:r>
    </w:p>
    <w:p w:rsidR="00DE7474" w:rsidRPr="00DE7474" w:rsidRDefault="00DE7474">
      <w:pPr>
        <w:pStyle w:val="TOC2"/>
        <w:tabs>
          <w:tab w:val="right" w:leader="dot" w:pos="9061"/>
        </w:tabs>
        <w:rPr>
          <w:rFonts w:eastAsiaTheme="minorEastAsia" w:cstheme="minorBidi"/>
          <w:smallCaps w:val="0"/>
          <w:noProof/>
          <w:sz w:val="28"/>
          <w:szCs w:val="22"/>
          <w:lang w:eastAsia="en-AU"/>
        </w:rPr>
      </w:pPr>
      <w:r w:rsidRPr="00DE7474">
        <w:rPr>
          <w:noProof/>
          <w:sz w:val="24"/>
        </w:rPr>
        <w:t>Eligibility requirements and transparency</w:t>
      </w:r>
      <w:r w:rsidRPr="00DE7474">
        <w:rPr>
          <w:noProof/>
          <w:sz w:val="24"/>
        </w:rPr>
        <w:tab/>
      </w:r>
      <w:r w:rsidR="008442D7" w:rsidRPr="00DE7474">
        <w:rPr>
          <w:noProof/>
          <w:sz w:val="24"/>
        </w:rPr>
        <w:fldChar w:fldCharType="begin"/>
      </w:r>
      <w:r w:rsidRPr="00DE7474">
        <w:rPr>
          <w:noProof/>
          <w:sz w:val="24"/>
        </w:rPr>
        <w:instrText xml:space="preserve"> PAGEREF _Toc379748686 \h </w:instrText>
      </w:r>
      <w:r w:rsidR="008442D7" w:rsidRPr="00DE7474">
        <w:rPr>
          <w:noProof/>
          <w:sz w:val="24"/>
        </w:rPr>
      </w:r>
      <w:r w:rsidR="008442D7" w:rsidRPr="00DE7474">
        <w:rPr>
          <w:noProof/>
          <w:sz w:val="24"/>
        </w:rPr>
        <w:fldChar w:fldCharType="separate"/>
      </w:r>
      <w:r w:rsidRPr="00DE7474">
        <w:rPr>
          <w:noProof/>
          <w:sz w:val="24"/>
        </w:rPr>
        <w:t>2</w:t>
      </w:r>
      <w:r w:rsidR="008442D7" w:rsidRPr="00DE7474">
        <w:rPr>
          <w:noProof/>
          <w:sz w:val="24"/>
        </w:rPr>
        <w:fldChar w:fldCharType="end"/>
      </w:r>
    </w:p>
    <w:p w:rsidR="00DE7474" w:rsidRPr="00DE7474" w:rsidRDefault="00DE7474">
      <w:pPr>
        <w:pStyle w:val="TOC2"/>
        <w:tabs>
          <w:tab w:val="right" w:leader="dot" w:pos="9061"/>
        </w:tabs>
        <w:rPr>
          <w:rFonts w:eastAsiaTheme="minorEastAsia" w:cstheme="minorBidi"/>
          <w:smallCaps w:val="0"/>
          <w:noProof/>
          <w:sz w:val="28"/>
          <w:szCs w:val="22"/>
          <w:lang w:eastAsia="en-AU"/>
        </w:rPr>
      </w:pPr>
      <w:r w:rsidRPr="00DE7474">
        <w:rPr>
          <w:noProof/>
          <w:sz w:val="24"/>
        </w:rPr>
        <w:t>Replenishment of the Advance in 2012-13</w:t>
      </w:r>
      <w:r w:rsidRPr="00DE7474">
        <w:rPr>
          <w:noProof/>
          <w:sz w:val="24"/>
        </w:rPr>
        <w:tab/>
      </w:r>
      <w:r w:rsidR="008442D7" w:rsidRPr="00DE7474">
        <w:rPr>
          <w:noProof/>
          <w:sz w:val="24"/>
        </w:rPr>
        <w:fldChar w:fldCharType="begin"/>
      </w:r>
      <w:r w:rsidRPr="00DE7474">
        <w:rPr>
          <w:noProof/>
          <w:sz w:val="24"/>
        </w:rPr>
        <w:instrText xml:space="preserve"> PAGEREF _Toc379748687 \h </w:instrText>
      </w:r>
      <w:r w:rsidR="008442D7" w:rsidRPr="00DE7474">
        <w:rPr>
          <w:noProof/>
          <w:sz w:val="24"/>
        </w:rPr>
      </w:r>
      <w:r w:rsidR="008442D7" w:rsidRPr="00DE7474">
        <w:rPr>
          <w:noProof/>
          <w:sz w:val="24"/>
        </w:rPr>
        <w:fldChar w:fldCharType="separate"/>
      </w:r>
      <w:r w:rsidRPr="00DE7474">
        <w:rPr>
          <w:noProof/>
          <w:sz w:val="24"/>
        </w:rPr>
        <w:t>2</w:t>
      </w:r>
      <w:r w:rsidR="008442D7" w:rsidRPr="00DE7474">
        <w:rPr>
          <w:noProof/>
          <w:sz w:val="24"/>
        </w:rPr>
        <w:fldChar w:fldCharType="end"/>
      </w:r>
    </w:p>
    <w:p w:rsidR="00DE7474" w:rsidRPr="00DE7474" w:rsidRDefault="00DE7474">
      <w:pPr>
        <w:pStyle w:val="TOC2"/>
        <w:tabs>
          <w:tab w:val="right" w:leader="dot" w:pos="9061"/>
        </w:tabs>
        <w:rPr>
          <w:rFonts w:eastAsiaTheme="minorEastAsia" w:cstheme="minorBidi"/>
          <w:smallCaps w:val="0"/>
          <w:noProof/>
          <w:sz w:val="28"/>
          <w:szCs w:val="22"/>
          <w:lang w:eastAsia="en-AU"/>
        </w:rPr>
      </w:pPr>
      <w:r w:rsidRPr="00DE7474">
        <w:rPr>
          <w:noProof/>
          <w:sz w:val="24"/>
        </w:rPr>
        <w:t>Avoiding appropriation duplication</w:t>
      </w:r>
      <w:r w:rsidRPr="00DE7474">
        <w:rPr>
          <w:noProof/>
          <w:sz w:val="24"/>
        </w:rPr>
        <w:tab/>
      </w:r>
      <w:r w:rsidR="008442D7" w:rsidRPr="00DE7474">
        <w:rPr>
          <w:noProof/>
          <w:sz w:val="24"/>
        </w:rPr>
        <w:fldChar w:fldCharType="begin"/>
      </w:r>
      <w:r w:rsidRPr="00DE7474">
        <w:rPr>
          <w:noProof/>
          <w:sz w:val="24"/>
        </w:rPr>
        <w:instrText xml:space="preserve"> PAGEREF _Toc379748688 \h </w:instrText>
      </w:r>
      <w:r w:rsidR="008442D7" w:rsidRPr="00DE7474">
        <w:rPr>
          <w:noProof/>
          <w:sz w:val="24"/>
        </w:rPr>
      </w:r>
      <w:r w:rsidR="008442D7" w:rsidRPr="00DE7474">
        <w:rPr>
          <w:noProof/>
          <w:sz w:val="24"/>
        </w:rPr>
        <w:fldChar w:fldCharType="separate"/>
      </w:r>
      <w:r w:rsidRPr="00DE7474">
        <w:rPr>
          <w:noProof/>
          <w:sz w:val="24"/>
        </w:rPr>
        <w:t>3</w:t>
      </w:r>
      <w:r w:rsidR="008442D7" w:rsidRPr="00DE7474">
        <w:rPr>
          <w:noProof/>
          <w:sz w:val="24"/>
        </w:rPr>
        <w:fldChar w:fldCharType="end"/>
      </w:r>
    </w:p>
    <w:p w:rsidR="00DE7474" w:rsidRPr="00DE7474" w:rsidRDefault="00DE7474">
      <w:pPr>
        <w:pStyle w:val="TOC2"/>
        <w:tabs>
          <w:tab w:val="right" w:leader="dot" w:pos="9061"/>
        </w:tabs>
        <w:rPr>
          <w:rFonts w:eastAsiaTheme="minorEastAsia" w:cstheme="minorBidi"/>
          <w:smallCaps w:val="0"/>
          <w:noProof/>
          <w:sz w:val="28"/>
          <w:szCs w:val="22"/>
          <w:lang w:eastAsia="en-AU"/>
        </w:rPr>
      </w:pPr>
      <w:r w:rsidRPr="00DE7474">
        <w:rPr>
          <w:noProof/>
          <w:sz w:val="24"/>
        </w:rPr>
        <w:t>Improvements to the drafting of Advance determinations</w:t>
      </w:r>
      <w:r w:rsidRPr="00DE7474">
        <w:rPr>
          <w:noProof/>
          <w:sz w:val="24"/>
        </w:rPr>
        <w:tab/>
      </w:r>
      <w:r w:rsidR="008442D7" w:rsidRPr="00DE7474">
        <w:rPr>
          <w:noProof/>
          <w:sz w:val="24"/>
        </w:rPr>
        <w:fldChar w:fldCharType="begin"/>
      </w:r>
      <w:r w:rsidRPr="00DE7474">
        <w:rPr>
          <w:noProof/>
          <w:sz w:val="24"/>
        </w:rPr>
        <w:instrText xml:space="preserve"> PAGEREF _Toc379748689 \h </w:instrText>
      </w:r>
      <w:r w:rsidR="008442D7" w:rsidRPr="00DE7474">
        <w:rPr>
          <w:noProof/>
          <w:sz w:val="24"/>
        </w:rPr>
      </w:r>
      <w:r w:rsidR="008442D7" w:rsidRPr="00DE7474">
        <w:rPr>
          <w:noProof/>
          <w:sz w:val="24"/>
        </w:rPr>
        <w:fldChar w:fldCharType="separate"/>
      </w:r>
      <w:r w:rsidRPr="00DE7474">
        <w:rPr>
          <w:noProof/>
          <w:sz w:val="24"/>
        </w:rPr>
        <w:t>3</w:t>
      </w:r>
      <w:r w:rsidR="008442D7" w:rsidRPr="00DE7474">
        <w:rPr>
          <w:noProof/>
          <w:sz w:val="24"/>
        </w:rPr>
        <w:fldChar w:fldCharType="end"/>
      </w:r>
    </w:p>
    <w:p w:rsidR="00DE7474" w:rsidRPr="00DE7474" w:rsidRDefault="00DE7474">
      <w:pPr>
        <w:pStyle w:val="TOC1"/>
        <w:tabs>
          <w:tab w:val="right" w:leader="dot" w:pos="9061"/>
        </w:tabs>
        <w:rPr>
          <w:rFonts w:eastAsiaTheme="minorEastAsia" w:cstheme="minorBidi"/>
          <w:b w:val="0"/>
          <w:bCs w:val="0"/>
          <w:caps w:val="0"/>
          <w:noProof/>
          <w:sz w:val="28"/>
          <w:szCs w:val="22"/>
          <w:lang w:eastAsia="en-AU"/>
        </w:rPr>
      </w:pPr>
      <w:r w:rsidRPr="00DE7474">
        <w:rPr>
          <w:noProof/>
          <w:sz w:val="24"/>
        </w:rPr>
        <w:t>Advances made in 2012-13</w:t>
      </w:r>
      <w:r w:rsidRPr="00DE7474">
        <w:rPr>
          <w:noProof/>
          <w:sz w:val="24"/>
        </w:rPr>
        <w:tab/>
      </w:r>
      <w:r w:rsidR="008442D7" w:rsidRPr="00DE7474">
        <w:rPr>
          <w:noProof/>
          <w:sz w:val="24"/>
        </w:rPr>
        <w:fldChar w:fldCharType="begin"/>
      </w:r>
      <w:r w:rsidRPr="00DE7474">
        <w:rPr>
          <w:noProof/>
          <w:sz w:val="24"/>
        </w:rPr>
        <w:instrText xml:space="preserve"> PAGEREF _Toc379748690 \h </w:instrText>
      </w:r>
      <w:r w:rsidR="008442D7" w:rsidRPr="00DE7474">
        <w:rPr>
          <w:noProof/>
          <w:sz w:val="24"/>
        </w:rPr>
      </w:r>
      <w:r w:rsidR="008442D7" w:rsidRPr="00DE7474">
        <w:rPr>
          <w:noProof/>
          <w:sz w:val="24"/>
        </w:rPr>
        <w:fldChar w:fldCharType="separate"/>
      </w:r>
      <w:r w:rsidRPr="00DE7474">
        <w:rPr>
          <w:noProof/>
          <w:sz w:val="24"/>
        </w:rPr>
        <w:t>4</w:t>
      </w:r>
      <w:r w:rsidR="008442D7" w:rsidRPr="00DE7474">
        <w:rPr>
          <w:noProof/>
          <w:sz w:val="24"/>
        </w:rPr>
        <w:fldChar w:fldCharType="end"/>
      </w:r>
    </w:p>
    <w:p w:rsidR="00DE7474" w:rsidRPr="00DE7474" w:rsidRDefault="00DE7474">
      <w:pPr>
        <w:pStyle w:val="TOC2"/>
        <w:tabs>
          <w:tab w:val="left" w:pos="1440"/>
          <w:tab w:val="right" w:leader="dot" w:pos="9061"/>
        </w:tabs>
        <w:rPr>
          <w:rFonts w:eastAsiaTheme="minorEastAsia" w:cstheme="minorBidi"/>
          <w:smallCaps w:val="0"/>
          <w:noProof/>
          <w:sz w:val="28"/>
          <w:szCs w:val="22"/>
          <w:lang w:eastAsia="en-AU"/>
        </w:rPr>
      </w:pPr>
      <w:r w:rsidRPr="00DE7474">
        <w:rPr>
          <w:noProof/>
          <w:sz w:val="24"/>
        </w:rPr>
        <w:t>AFM No. 1:</w:t>
      </w:r>
      <w:r w:rsidRPr="00DE7474">
        <w:rPr>
          <w:rFonts w:eastAsiaTheme="minorEastAsia" w:cstheme="minorBidi"/>
          <w:smallCaps w:val="0"/>
          <w:noProof/>
          <w:sz w:val="28"/>
          <w:szCs w:val="22"/>
          <w:lang w:eastAsia="en-AU"/>
        </w:rPr>
        <w:tab/>
      </w:r>
      <w:r w:rsidRPr="00DE7474">
        <w:rPr>
          <w:noProof/>
          <w:sz w:val="24"/>
        </w:rPr>
        <w:t>DEEWR: Outcome 4</w:t>
      </w:r>
      <w:r w:rsidRPr="00DE7474">
        <w:rPr>
          <w:noProof/>
          <w:sz w:val="24"/>
        </w:rPr>
        <w:tab/>
      </w:r>
      <w:r w:rsidR="008442D7" w:rsidRPr="00DE7474">
        <w:rPr>
          <w:noProof/>
          <w:sz w:val="24"/>
        </w:rPr>
        <w:fldChar w:fldCharType="begin"/>
      </w:r>
      <w:r w:rsidRPr="00DE7474">
        <w:rPr>
          <w:noProof/>
          <w:sz w:val="24"/>
        </w:rPr>
        <w:instrText xml:space="preserve"> PAGEREF _Toc379748691 \h </w:instrText>
      </w:r>
      <w:r w:rsidR="008442D7" w:rsidRPr="00DE7474">
        <w:rPr>
          <w:noProof/>
          <w:sz w:val="24"/>
        </w:rPr>
      </w:r>
      <w:r w:rsidR="008442D7" w:rsidRPr="00DE7474">
        <w:rPr>
          <w:noProof/>
          <w:sz w:val="24"/>
        </w:rPr>
        <w:fldChar w:fldCharType="separate"/>
      </w:r>
      <w:r w:rsidRPr="00DE7474">
        <w:rPr>
          <w:noProof/>
          <w:sz w:val="24"/>
        </w:rPr>
        <w:t>4</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Requirement</w:t>
      </w:r>
      <w:r w:rsidRPr="00DE7474">
        <w:rPr>
          <w:noProof/>
          <w:sz w:val="24"/>
        </w:rPr>
        <w:tab/>
      </w:r>
      <w:r w:rsidR="008442D7" w:rsidRPr="00DE7474">
        <w:rPr>
          <w:noProof/>
          <w:sz w:val="24"/>
        </w:rPr>
        <w:fldChar w:fldCharType="begin"/>
      </w:r>
      <w:r w:rsidRPr="00DE7474">
        <w:rPr>
          <w:noProof/>
          <w:sz w:val="24"/>
        </w:rPr>
        <w:instrText xml:space="preserve"> PAGEREF _Toc379748692 \h </w:instrText>
      </w:r>
      <w:r w:rsidR="008442D7" w:rsidRPr="00DE7474">
        <w:rPr>
          <w:noProof/>
          <w:sz w:val="24"/>
        </w:rPr>
      </w:r>
      <w:r w:rsidR="008442D7" w:rsidRPr="00DE7474">
        <w:rPr>
          <w:noProof/>
          <w:sz w:val="24"/>
        </w:rPr>
        <w:fldChar w:fldCharType="separate"/>
      </w:r>
      <w:r w:rsidRPr="00DE7474">
        <w:rPr>
          <w:noProof/>
          <w:sz w:val="24"/>
        </w:rPr>
        <w:t>4</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Underspend</w:t>
      </w:r>
      <w:r w:rsidRPr="00DE7474">
        <w:rPr>
          <w:noProof/>
          <w:sz w:val="24"/>
        </w:rPr>
        <w:tab/>
      </w:r>
      <w:r w:rsidR="008442D7" w:rsidRPr="00DE7474">
        <w:rPr>
          <w:noProof/>
          <w:sz w:val="24"/>
        </w:rPr>
        <w:fldChar w:fldCharType="begin"/>
      </w:r>
      <w:r w:rsidRPr="00DE7474">
        <w:rPr>
          <w:noProof/>
          <w:sz w:val="24"/>
        </w:rPr>
        <w:instrText xml:space="preserve"> PAGEREF _Toc379748693 \h </w:instrText>
      </w:r>
      <w:r w:rsidR="008442D7" w:rsidRPr="00DE7474">
        <w:rPr>
          <w:noProof/>
          <w:sz w:val="24"/>
        </w:rPr>
      </w:r>
      <w:r w:rsidR="008442D7" w:rsidRPr="00DE7474">
        <w:rPr>
          <w:noProof/>
          <w:sz w:val="24"/>
        </w:rPr>
        <w:fldChar w:fldCharType="separate"/>
      </w:r>
      <w:r w:rsidRPr="00DE7474">
        <w:rPr>
          <w:noProof/>
          <w:sz w:val="24"/>
        </w:rPr>
        <w:t>4</w:t>
      </w:r>
      <w:r w:rsidR="008442D7" w:rsidRPr="00DE7474">
        <w:rPr>
          <w:noProof/>
          <w:sz w:val="24"/>
        </w:rPr>
        <w:fldChar w:fldCharType="end"/>
      </w:r>
    </w:p>
    <w:p w:rsidR="00DE7474" w:rsidRPr="00DE7474" w:rsidRDefault="00DE7474">
      <w:pPr>
        <w:pStyle w:val="TOC2"/>
        <w:tabs>
          <w:tab w:val="left" w:pos="1440"/>
          <w:tab w:val="right" w:leader="dot" w:pos="9061"/>
        </w:tabs>
        <w:rPr>
          <w:rFonts w:eastAsiaTheme="minorEastAsia" w:cstheme="minorBidi"/>
          <w:smallCaps w:val="0"/>
          <w:noProof/>
          <w:sz w:val="28"/>
          <w:szCs w:val="22"/>
          <w:lang w:eastAsia="en-AU"/>
        </w:rPr>
      </w:pPr>
      <w:r w:rsidRPr="00DE7474">
        <w:rPr>
          <w:noProof/>
          <w:sz w:val="24"/>
        </w:rPr>
        <w:t>AFM No. 2:</w:t>
      </w:r>
      <w:r w:rsidRPr="00DE7474">
        <w:rPr>
          <w:rFonts w:eastAsiaTheme="minorEastAsia" w:cstheme="minorBidi"/>
          <w:smallCaps w:val="0"/>
          <w:noProof/>
          <w:sz w:val="28"/>
          <w:szCs w:val="22"/>
          <w:lang w:eastAsia="en-AU"/>
        </w:rPr>
        <w:tab/>
      </w:r>
      <w:r w:rsidRPr="00DE7474">
        <w:rPr>
          <w:noProof/>
          <w:sz w:val="24"/>
        </w:rPr>
        <w:t>Health: Outcome 13</w:t>
      </w:r>
      <w:r w:rsidRPr="00DE7474">
        <w:rPr>
          <w:noProof/>
          <w:sz w:val="24"/>
        </w:rPr>
        <w:tab/>
      </w:r>
      <w:r w:rsidR="008442D7" w:rsidRPr="00DE7474">
        <w:rPr>
          <w:noProof/>
          <w:sz w:val="24"/>
        </w:rPr>
        <w:fldChar w:fldCharType="begin"/>
      </w:r>
      <w:r w:rsidRPr="00DE7474">
        <w:rPr>
          <w:noProof/>
          <w:sz w:val="24"/>
        </w:rPr>
        <w:instrText xml:space="preserve"> PAGEREF _Toc379748694 \h </w:instrText>
      </w:r>
      <w:r w:rsidR="008442D7" w:rsidRPr="00DE7474">
        <w:rPr>
          <w:noProof/>
          <w:sz w:val="24"/>
        </w:rPr>
      </w:r>
      <w:r w:rsidR="008442D7" w:rsidRPr="00DE7474">
        <w:rPr>
          <w:noProof/>
          <w:sz w:val="24"/>
        </w:rPr>
        <w:fldChar w:fldCharType="separate"/>
      </w:r>
      <w:r w:rsidRPr="00DE7474">
        <w:rPr>
          <w:noProof/>
          <w:sz w:val="24"/>
        </w:rPr>
        <w:t>5</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Requirement</w:t>
      </w:r>
      <w:r w:rsidRPr="00DE7474">
        <w:rPr>
          <w:noProof/>
          <w:sz w:val="24"/>
        </w:rPr>
        <w:tab/>
      </w:r>
      <w:r w:rsidR="008442D7" w:rsidRPr="00DE7474">
        <w:rPr>
          <w:noProof/>
          <w:sz w:val="24"/>
        </w:rPr>
        <w:fldChar w:fldCharType="begin"/>
      </w:r>
      <w:r w:rsidRPr="00DE7474">
        <w:rPr>
          <w:noProof/>
          <w:sz w:val="24"/>
        </w:rPr>
        <w:instrText xml:space="preserve"> PAGEREF _Toc379748695 \h </w:instrText>
      </w:r>
      <w:r w:rsidR="008442D7" w:rsidRPr="00DE7474">
        <w:rPr>
          <w:noProof/>
          <w:sz w:val="24"/>
        </w:rPr>
      </w:r>
      <w:r w:rsidR="008442D7" w:rsidRPr="00DE7474">
        <w:rPr>
          <w:noProof/>
          <w:sz w:val="24"/>
        </w:rPr>
        <w:fldChar w:fldCharType="separate"/>
      </w:r>
      <w:r w:rsidRPr="00DE7474">
        <w:rPr>
          <w:noProof/>
          <w:sz w:val="24"/>
        </w:rPr>
        <w:t>5</w:t>
      </w:r>
      <w:r w:rsidR="008442D7" w:rsidRPr="00DE7474">
        <w:rPr>
          <w:noProof/>
          <w:sz w:val="24"/>
        </w:rPr>
        <w:fldChar w:fldCharType="end"/>
      </w:r>
    </w:p>
    <w:p w:rsidR="00DE7474" w:rsidRPr="00DE7474" w:rsidRDefault="00DE7474">
      <w:pPr>
        <w:pStyle w:val="TOC2"/>
        <w:tabs>
          <w:tab w:val="left" w:pos="1440"/>
          <w:tab w:val="right" w:leader="dot" w:pos="9061"/>
        </w:tabs>
        <w:rPr>
          <w:rFonts w:eastAsiaTheme="minorEastAsia" w:cstheme="minorBidi"/>
          <w:smallCaps w:val="0"/>
          <w:noProof/>
          <w:sz w:val="28"/>
          <w:szCs w:val="22"/>
          <w:lang w:eastAsia="en-AU"/>
        </w:rPr>
      </w:pPr>
      <w:r w:rsidRPr="00DE7474">
        <w:rPr>
          <w:noProof/>
          <w:sz w:val="24"/>
        </w:rPr>
        <w:t xml:space="preserve">AFM No. 3: </w:t>
      </w:r>
      <w:r w:rsidRPr="00DE7474">
        <w:rPr>
          <w:rFonts w:eastAsiaTheme="minorEastAsia" w:cstheme="minorBidi"/>
          <w:smallCaps w:val="0"/>
          <w:noProof/>
          <w:sz w:val="28"/>
          <w:szCs w:val="22"/>
          <w:lang w:eastAsia="en-AU"/>
        </w:rPr>
        <w:tab/>
      </w:r>
      <w:r w:rsidRPr="00DE7474">
        <w:rPr>
          <w:noProof/>
          <w:sz w:val="24"/>
        </w:rPr>
        <w:t>FaHCSIA: Outcome 1</w:t>
      </w:r>
      <w:r w:rsidRPr="00DE7474">
        <w:rPr>
          <w:noProof/>
          <w:sz w:val="24"/>
        </w:rPr>
        <w:tab/>
      </w:r>
      <w:r w:rsidR="008442D7" w:rsidRPr="00DE7474">
        <w:rPr>
          <w:noProof/>
          <w:sz w:val="24"/>
        </w:rPr>
        <w:fldChar w:fldCharType="begin"/>
      </w:r>
      <w:r w:rsidRPr="00DE7474">
        <w:rPr>
          <w:noProof/>
          <w:sz w:val="24"/>
        </w:rPr>
        <w:instrText xml:space="preserve"> PAGEREF _Toc379748696 \h </w:instrText>
      </w:r>
      <w:r w:rsidR="008442D7" w:rsidRPr="00DE7474">
        <w:rPr>
          <w:noProof/>
          <w:sz w:val="24"/>
        </w:rPr>
      </w:r>
      <w:r w:rsidR="008442D7" w:rsidRPr="00DE7474">
        <w:rPr>
          <w:noProof/>
          <w:sz w:val="24"/>
        </w:rPr>
        <w:fldChar w:fldCharType="separate"/>
      </w:r>
      <w:r w:rsidRPr="00DE7474">
        <w:rPr>
          <w:noProof/>
          <w:sz w:val="24"/>
        </w:rPr>
        <w:t>6</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Requirement</w:t>
      </w:r>
      <w:r w:rsidRPr="00DE7474">
        <w:rPr>
          <w:noProof/>
          <w:sz w:val="24"/>
        </w:rPr>
        <w:tab/>
      </w:r>
      <w:r w:rsidR="008442D7" w:rsidRPr="00DE7474">
        <w:rPr>
          <w:noProof/>
          <w:sz w:val="24"/>
        </w:rPr>
        <w:fldChar w:fldCharType="begin"/>
      </w:r>
      <w:r w:rsidRPr="00DE7474">
        <w:rPr>
          <w:noProof/>
          <w:sz w:val="24"/>
        </w:rPr>
        <w:instrText xml:space="preserve"> PAGEREF _Toc379748697 \h </w:instrText>
      </w:r>
      <w:r w:rsidR="008442D7" w:rsidRPr="00DE7474">
        <w:rPr>
          <w:noProof/>
          <w:sz w:val="24"/>
        </w:rPr>
      </w:r>
      <w:r w:rsidR="008442D7" w:rsidRPr="00DE7474">
        <w:rPr>
          <w:noProof/>
          <w:sz w:val="24"/>
        </w:rPr>
        <w:fldChar w:fldCharType="separate"/>
      </w:r>
      <w:r w:rsidRPr="00DE7474">
        <w:rPr>
          <w:noProof/>
          <w:sz w:val="24"/>
        </w:rPr>
        <w:t>6</w:t>
      </w:r>
      <w:r w:rsidR="008442D7" w:rsidRPr="00DE7474">
        <w:rPr>
          <w:noProof/>
          <w:sz w:val="24"/>
        </w:rPr>
        <w:fldChar w:fldCharType="end"/>
      </w:r>
    </w:p>
    <w:p w:rsidR="00DE7474" w:rsidRPr="00DE7474" w:rsidRDefault="00DE7474">
      <w:pPr>
        <w:pStyle w:val="TOC2"/>
        <w:tabs>
          <w:tab w:val="left" w:pos="1440"/>
          <w:tab w:val="right" w:leader="dot" w:pos="9061"/>
        </w:tabs>
        <w:rPr>
          <w:rFonts w:eastAsiaTheme="minorEastAsia" w:cstheme="minorBidi"/>
          <w:smallCaps w:val="0"/>
          <w:noProof/>
          <w:sz w:val="28"/>
          <w:szCs w:val="22"/>
          <w:lang w:eastAsia="en-AU"/>
        </w:rPr>
      </w:pPr>
      <w:r w:rsidRPr="00DE7474">
        <w:rPr>
          <w:noProof/>
          <w:sz w:val="24"/>
        </w:rPr>
        <w:t xml:space="preserve">AFM No. 4: </w:t>
      </w:r>
      <w:r w:rsidRPr="00DE7474">
        <w:rPr>
          <w:rFonts w:eastAsiaTheme="minorEastAsia" w:cstheme="minorBidi"/>
          <w:smallCaps w:val="0"/>
          <w:noProof/>
          <w:sz w:val="28"/>
          <w:szCs w:val="22"/>
          <w:lang w:eastAsia="en-AU"/>
        </w:rPr>
        <w:tab/>
      </w:r>
      <w:r w:rsidRPr="00DE7474">
        <w:rPr>
          <w:noProof/>
          <w:sz w:val="24"/>
        </w:rPr>
        <w:t>Health, Outcomes 10 and 14</w:t>
      </w:r>
      <w:r w:rsidRPr="00DE7474">
        <w:rPr>
          <w:noProof/>
          <w:sz w:val="24"/>
        </w:rPr>
        <w:tab/>
      </w:r>
      <w:r w:rsidR="008442D7" w:rsidRPr="00DE7474">
        <w:rPr>
          <w:noProof/>
          <w:sz w:val="24"/>
        </w:rPr>
        <w:fldChar w:fldCharType="begin"/>
      </w:r>
      <w:r w:rsidRPr="00DE7474">
        <w:rPr>
          <w:noProof/>
          <w:sz w:val="24"/>
        </w:rPr>
        <w:instrText xml:space="preserve"> PAGEREF _Toc379748698 \h </w:instrText>
      </w:r>
      <w:r w:rsidR="008442D7" w:rsidRPr="00DE7474">
        <w:rPr>
          <w:noProof/>
          <w:sz w:val="24"/>
        </w:rPr>
      </w:r>
      <w:r w:rsidR="008442D7" w:rsidRPr="00DE7474">
        <w:rPr>
          <w:noProof/>
          <w:sz w:val="24"/>
        </w:rPr>
        <w:fldChar w:fldCharType="separate"/>
      </w:r>
      <w:r w:rsidRPr="00DE7474">
        <w:rPr>
          <w:noProof/>
          <w:sz w:val="24"/>
        </w:rPr>
        <w:t>7</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Requirement: Outcome 10</w:t>
      </w:r>
      <w:r w:rsidRPr="00DE7474">
        <w:rPr>
          <w:noProof/>
          <w:sz w:val="24"/>
        </w:rPr>
        <w:tab/>
      </w:r>
      <w:r w:rsidR="008442D7" w:rsidRPr="00DE7474">
        <w:rPr>
          <w:noProof/>
          <w:sz w:val="24"/>
        </w:rPr>
        <w:fldChar w:fldCharType="begin"/>
      </w:r>
      <w:r w:rsidRPr="00DE7474">
        <w:rPr>
          <w:noProof/>
          <w:sz w:val="24"/>
        </w:rPr>
        <w:instrText xml:space="preserve"> PAGEREF _Toc379748699 \h </w:instrText>
      </w:r>
      <w:r w:rsidR="008442D7" w:rsidRPr="00DE7474">
        <w:rPr>
          <w:noProof/>
          <w:sz w:val="24"/>
        </w:rPr>
      </w:r>
      <w:r w:rsidR="008442D7" w:rsidRPr="00DE7474">
        <w:rPr>
          <w:noProof/>
          <w:sz w:val="24"/>
        </w:rPr>
        <w:fldChar w:fldCharType="separate"/>
      </w:r>
      <w:r w:rsidRPr="00DE7474">
        <w:rPr>
          <w:noProof/>
          <w:sz w:val="24"/>
        </w:rPr>
        <w:t>7</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Underspend: Outcome 10</w:t>
      </w:r>
      <w:r w:rsidRPr="00DE7474">
        <w:rPr>
          <w:noProof/>
          <w:sz w:val="24"/>
        </w:rPr>
        <w:tab/>
      </w:r>
      <w:r w:rsidR="008442D7" w:rsidRPr="00DE7474">
        <w:rPr>
          <w:noProof/>
          <w:sz w:val="24"/>
        </w:rPr>
        <w:fldChar w:fldCharType="begin"/>
      </w:r>
      <w:r w:rsidRPr="00DE7474">
        <w:rPr>
          <w:noProof/>
          <w:sz w:val="24"/>
        </w:rPr>
        <w:instrText xml:space="preserve"> PAGEREF _Toc379748700 \h </w:instrText>
      </w:r>
      <w:r w:rsidR="008442D7" w:rsidRPr="00DE7474">
        <w:rPr>
          <w:noProof/>
          <w:sz w:val="24"/>
        </w:rPr>
      </w:r>
      <w:r w:rsidR="008442D7" w:rsidRPr="00DE7474">
        <w:rPr>
          <w:noProof/>
          <w:sz w:val="24"/>
        </w:rPr>
        <w:fldChar w:fldCharType="separate"/>
      </w:r>
      <w:r w:rsidRPr="00DE7474">
        <w:rPr>
          <w:noProof/>
          <w:sz w:val="24"/>
        </w:rPr>
        <w:t>8</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Requirement: Outcome 14</w:t>
      </w:r>
      <w:r w:rsidRPr="00DE7474">
        <w:rPr>
          <w:noProof/>
          <w:sz w:val="24"/>
        </w:rPr>
        <w:tab/>
      </w:r>
      <w:r w:rsidR="008442D7" w:rsidRPr="00DE7474">
        <w:rPr>
          <w:noProof/>
          <w:sz w:val="24"/>
        </w:rPr>
        <w:fldChar w:fldCharType="begin"/>
      </w:r>
      <w:r w:rsidRPr="00DE7474">
        <w:rPr>
          <w:noProof/>
          <w:sz w:val="24"/>
        </w:rPr>
        <w:instrText xml:space="preserve"> PAGEREF _Toc379748701 \h </w:instrText>
      </w:r>
      <w:r w:rsidR="008442D7" w:rsidRPr="00DE7474">
        <w:rPr>
          <w:noProof/>
          <w:sz w:val="24"/>
        </w:rPr>
      </w:r>
      <w:r w:rsidR="008442D7" w:rsidRPr="00DE7474">
        <w:rPr>
          <w:noProof/>
          <w:sz w:val="24"/>
        </w:rPr>
        <w:fldChar w:fldCharType="separate"/>
      </w:r>
      <w:r w:rsidRPr="00DE7474">
        <w:rPr>
          <w:noProof/>
          <w:sz w:val="24"/>
        </w:rPr>
        <w:t>8</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Underspend: Outcome 14</w:t>
      </w:r>
      <w:r w:rsidRPr="00DE7474">
        <w:rPr>
          <w:noProof/>
          <w:sz w:val="24"/>
        </w:rPr>
        <w:tab/>
      </w:r>
      <w:r w:rsidR="008442D7" w:rsidRPr="00DE7474">
        <w:rPr>
          <w:noProof/>
          <w:sz w:val="24"/>
        </w:rPr>
        <w:fldChar w:fldCharType="begin"/>
      </w:r>
      <w:r w:rsidRPr="00DE7474">
        <w:rPr>
          <w:noProof/>
          <w:sz w:val="24"/>
        </w:rPr>
        <w:instrText xml:space="preserve"> PAGEREF _Toc379748702 \h </w:instrText>
      </w:r>
      <w:r w:rsidR="008442D7" w:rsidRPr="00DE7474">
        <w:rPr>
          <w:noProof/>
          <w:sz w:val="24"/>
        </w:rPr>
      </w:r>
      <w:r w:rsidR="008442D7" w:rsidRPr="00DE7474">
        <w:rPr>
          <w:noProof/>
          <w:sz w:val="24"/>
        </w:rPr>
        <w:fldChar w:fldCharType="separate"/>
      </w:r>
      <w:r w:rsidRPr="00DE7474">
        <w:rPr>
          <w:noProof/>
          <w:sz w:val="24"/>
        </w:rPr>
        <w:t>8</w:t>
      </w:r>
      <w:r w:rsidR="008442D7" w:rsidRPr="00DE7474">
        <w:rPr>
          <w:noProof/>
          <w:sz w:val="24"/>
        </w:rPr>
        <w:fldChar w:fldCharType="end"/>
      </w:r>
    </w:p>
    <w:p w:rsidR="00DE7474" w:rsidRPr="00DE7474" w:rsidRDefault="00DE7474">
      <w:pPr>
        <w:pStyle w:val="TOC2"/>
        <w:tabs>
          <w:tab w:val="left" w:pos="1440"/>
          <w:tab w:val="right" w:leader="dot" w:pos="9061"/>
        </w:tabs>
        <w:rPr>
          <w:rFonts w:eastAsiaTheme="minorEastAsia" w:cstheme="minorBidi"/>
          <w:smallCaps w:val="0"/>
          <w:noProof/>
          <w:sz w:val="28"/>
          <w:szCs w:val="22"/>
          <w:lang w:eastAsia="en-AU"/>
        </w:rPr>
      </w:pPr>
      <w:r w:rsidRPr="00DE7474">
        <w:rPr>
          <w:noProof/>
          <w:sz w:val="24"/>
        </w:rPr>
        <w:t>AFM No. 5:</w:t>
      </w:r>
      <w:r w:rsidRPr="00DE7474">
        <w:rPr>
          <w:rFonts w:eastAsiaTheme="minorEastAsia" w:cstheme="minorBidi"/>
          <w:smallCaps w:val="0"/>
          <w:noProof/>
          <w:sz w:val="28"/>
          <w:szCs w:val="22"/>
          <w:lang w:eastAsia="en-AU"/>
        </w:rPr>
        <w:tab/>
      </w:r>
      <w:r w:rsidRPr="00DE7474">
        <w:rPr>
          <w:noProof/>
          <w:sz w:val="24"/>
        </w:rPr>
        <w:t>DRALGAS: Outcome 4</w:t>
      </w:r>
      <w:r w:rsidRPr="00DE7474">
        <w:rPr>
          <w:noProof/>
          <w:sz w:val="24"/>
        </w:rPr>
        <w:tab/>
      </w:r>
      <w:r w:rsidR="008442D7" w:rsidRPr="00DE7474">
        <w:rPr>
          <w:noProof/>
          <w:sz w:val="24"/>
        </w:rPr>
        <w:fldChar w:fldCharType="begin"/>
      </w:r>
      <w:r w:rsidRPr="00DE7474">
        <w:rPr>
          <w:noProof/>
          <w:sz w:val="24"/>
        </w:rPr>
        <w:instrText xml:space="preserve"> PAGEREF _Toc379748703 \h </w:instrText>
      </w:r>
      <w:r w:rsidR="008442D7" w:rsidRPr="00DE7474">
        <w:rPr>
          <w:noProof/>
          <w:sz w:val="24"/>
        </w:rPr>
      </w:r>
      <w:r w:rsidR="008442D7" w:rsidRPr="00DE7474">
        <w:rPr>
          <w:noProof/>
          <w:sz w:val="24"/>
        </w:rPr>
        <w:fldChar w:fldCharType="separate"/>
      </w:r>
      <w:r w:rsidRPr="00DE7474">
        <w:rPr>
          <w:noProof/>
          <w:sz w:val="24"/>
        </w:rPr>
        <w:t>9</w:t>
      </w:r>
      <w:r w:rsidR="008442D7" w:rsidRPr="00DE7474">
        <w:rPr>
          <w:noProof/>
          <w:sz w:val="24"/>
        </w:rPr>
        <w:fldChar w:fldCharType="end"/>
      </w:r>
    </w:p>
    <w:p w:rsidR="00DE7474" w:rsidRPr="00DE7474" w:rsidRDefault="00DE7474">
      <w:pPr>
        <w:pStyle w:val="TOC3"/>
        <w:tabs>
          <w:tab w:val="right" w:leader="dot" w:pos="9061"/>
        </w:tabs>
        <w:rPr>
          <w:rFonts w:eastAsiaTheme="minorEastAsia" w:cstheme="minorBidi"/>
          <w:i w:val="0"/>
          <w:iCs w:val="0"/>
          <w:noProof/>
          <w:sz w:val="28"/>
          <w:szCs w:val="22"/>
          <w:lang w:eastAsia="en-AU"/>
        </w:rPr>
      </w:pPr>
      <w:r w:rsidRPr="00DE7474">
        <w:rPr>
          <w:noProof/>
          <w:sz w:val="24"/>
        </w:rPr>
        <w:t>Explanation of Requirement</w:t>
      </w:r>
      <w:r w:rsidRPr="00DE7474">
        <w:rPr>
          <w:noProof/>
          <w:sz w:val="24"/>
        </w:rPr>
        <w:tab/>
      </w:r>
      <w:r w:rsidR="008442D7" w:rsidRPr="00DE7474">
        <w:rPr>
          <w:noProof/>
          <w:sz w:val="24"/>
        </w:rPr>
        <w:fldChar w:fldCharType="begin"/>
      </w:r>
      <w:r w:rsidRPr="00DE7474">
        <w:rPr>
          <w:noProof/>
          <w:sz w:val="24"/>
        </w:rPr>
        <w:instrText xml:space="preserve"> PAGEREF _Toc379748704 \h </w:instrText>
      </w:r>
      <w:r w:rsidR="008442D7" w:rsidRPr="00DE7474">
        <w:rPr>
          <w:noProof/>
          <w:sz w:val="24"/>
        </w:rPr>
      </w:r>
      <w:r w:rsidR="008442D7" w:rsidRPr="00DE7474">
        <w:rPr>
          <w:noProof/>
          <w:sz w:val="24"/>
        </w:rPr>
        <w:fldChar w:fldCharType="separate"/>
      </w:r>
      <w:r w:rsidRPr="00DE7474">
        <w:rPr>
          <w:noProof/>
          <w:sz w:val="24"/>
        </w:rPr>
        <w:t>9</w:t>
      </w:r>
      <w:r w:rsidR="008442D7" w:rsidRPr="00DE7474">
        <w:rPr>
          <w:noProof/>
          <w:sz w:val="24"/>
        </w:rPr>
        <w:fldChar w:fldCharType="end"/>
      </w:r>
    </w:p>
    <w:p w:rsidR="00DE7474" w:rsidRPr="00DE7474" w:rsidRDefault="00DE7474">
      <w:pPr>
        <w:pStyle w:val="TOC1"/>
        <w:tabs>
          <w:tab w:val="right" w:leader="dot" w:pos="9061"/>
        </w:tabs>
        <w:rPr>
          <w:rFonts w:eastAsiaTheme="minorEastAsia" w:cstheme="minorBidi"/>
          <w:b w:val="0"/>
          <w:bCs w:val="0"/>
          <w:caps w:val="0"/>
          <w:noProof/>
          <w:sz w:val="28"/>
          <w:szCs w:val="22"/>
          <w:lang w:eastAsia="en-AU"/>
        </w:rPr>
      </w:pPr>
      <w:r w:rsidRPr="00DE7474">
        <w:rPr>
          <w:noProof/>
          <w:sz w:val="24"/>
        </w:rPr>
        <w:t>ATTACHMENT: Independent review report – ANAO</w:t>
      </w:r>
      <w:r w:rsidRPr="00DE7474">
        <w:rPr>
          <w:noProof/>
          <w:sz w:val="24"/>
        </w:rPr>
        <w:tab/>
      </w:r>
      <w:r w:rsidR="008442D7" w:rsidRPr="00DE7474">
        <w:rPr>
          <w:noProof/>
          <w:sz w:val="24"/>
        </w:rPr>
        <w:fldChar w:fldCharType="begin"/>
      </w:r>
      <w:r w:rsidRPr="00DE7474">
        <w:rPr>
          <w:noProof/>
          <w:sz w:val="24"/>
        </w:rPr>
        <w:instrText xml:space="preserve"> PAGEREF _Toc379748705 \h </w:instrText>
      </w:r>
      <w:r w:rsidR="008442D7" w:rsidRPr="00DE7474">
        <w:rPr>
          <w:noProof/>
          <w:sz w:val="24"/>
        </w:rPr>
      </w:r>
      <w:r w:rsidR="008442D7" w:rsidRPr="00DE7474">
        <w:rPr>
          <w:noProof/>
          <w:sz w:val="24"/>
        </w:rPr>
        <w:fldChar w:fldCharType="separate"/>
      </w:r>
      <w:r w:rsidRPr="00DE7474">
        <w:rPr>
          <w:noProof/>
          <w:sz w:val="24"/>
        </w:rPr>
        <w:t>10</w:t>
      </w:r>
      <w:r w:rsidR="008442D7" w:rsidRPr="00DE7474">
        <w:rPr>
          <w:noProof/>
          <w:sz w:val="24"/>
        </w:rPr>
        <w:fldChar w:fldCharType="end"/>
      </w:r>
    </w:p>
    <w:p w:rsidR="00BB667F" w:rsidRDefault="008442D7" w:rsidP="00C9348B">
      <w:r w:rsidRPr="00DE7474">
        <w:rPr>
          <w:sz w:val="180"/>
        </w:rPr>
        <w:fldChar w:fldCharType="end"/>
      </w:r>
    </w:p>
    <w:p w:rsidR="00D009E0" w:rsidRPr="00D009E0" w:rsidRDefault="00D009E0" w:rsidP="00D009E0"/>
    <w:p w:rsidR="000D12FB" w:rsidRPr="003D7BE6" w:rsidRDefault="000D12FB" w:rsidP="000D12FB"/>
    <w:p w:rsidR="00C9348B" w:rsidRDefault="00C9348B" w:rsidP="003D7BE6">
      <w:pPr>
        <w:pStyle w:val="Heading1"/>
        <w:pageBreakBefore w:val="0"/>
        <w:jc w:val="left"/>
        <w:rPr>
          <w:rFonts w:ascii="Times New Roman" w:hAnsi="Times New Roman" w:cs="Times New Roman"/>
          <w:b w:val="0"/>
          <w:smallCaps w:val="0"/>
          <w:noProof/>
          <w:snapToGrid w:val="0"/>
          <w:color w:val="000000"/>
          <w:kern w:val="0"/>
          <w:sz w:val="20"/>
        </w:rPr>
        <w:sectPr w:rsidR="00C9348B" w:rsidSect="0098472A">
          <w:headerReference w:type="default" r:id="rId18"/>
          <w:footerReference w:type="default" r:id="rId19"/>
          <w:type w:val="continuous"/>
          <w:pgSz w:w="11907" w:h="16840" w:code="9"/>
          <w:pgMar w:top="1701" w:right="1418" w:bottom="1134" w:left="1418" w:header="1134" w:footer="1134" w:gutter="0"/>
          <w:pgNumType w:fmt="lowerRoman" w:start="1"/>
          <w:cols w:space="720"/>
          <w:titlePg/>
          <w:docGrid w:linePitch="272"/>
        </w:sectPr>
      </w:pPr>
      <w:bookmarkStart w:id="0" w:name="_Toc239580061"/>
      <w:bookmarkStart w:id="1" w:name="_Toc362879061"/>
    </w:p>
    <w:p w:rsidR="00E73304" w:rsidRPr="003D7BE6" w:rsidRDefault="00E73304" w:rsidP="00C9348B">
      <w:pPr>
        <w:pStyle w:val="Heading1"/>
        <w:rPr>
          <w:snapToGrid w:val="0"/>
        </w:rPr>
      </w:pPr>
      <w:bookmarkStart w:id="2" w:name="_Toc379718202"/>
      <w:bookmarkStart w:id="3" w:name="_Toc379748682"/>
      <w:r w:rsidRPr="003D7BE6">
        <w:rPr>
          <w:snapToGrid w:val="0"/>
        </w:rPr>
        <w:lastRenderedPageBreak/>
        <w:t>Introduction</w:t>
      </w:r>
      <w:bookmarkEnd w:id="0"/>
      <w:bookmarkEnd w:id="1"/>
      <w:bookmarkEnd w:id="2"/>
      <w:bookmarkEnd w:id="3"/>
    </w:p>
    <w:p w:rsidR="007576F1" w:rsidRPr="00F634B4" w:rsidRDefault="006B3A30" w:rsidP="00D24E36">
      <w:r w:rsidRPr="00F634B4">
        <w:t>A</w:t>
      </w:r>
      <w:r w:rsidR="007576F1" w:rsidRPr="00F634B4">
        <w:t xml:space="preserve">dvances under the annual </w:t>
      </w:r>
      <w:r w:rsidR="00050DAA" w:rsidRPr="00F634B4">
        <w:t>A</w:t>
      </w:r>
      <w:r w:rsidR="00D63C44" w:rsidRPr="00F634B4">
        <w:t>ppropriation Acts</w:t>
      </w:r>
      <w:r w:rsidR="007576F1" w:rsidRPr="00F634B4">
        <w:t xml:space="preserve"> enable urgently required appropriation</w:t>
      </w:r>
      <w:r w:rsidR="00F950DD" w:rsidRPr="00F634B4">
        <w:t>s</w:t>
      </w:r>
      <w:r w:rsidR="007576F1" w:rsidRPr="00F634B4">
        <w:t xml:space="preserve"> to be issued to agencies during </w:t>
      </w:r>
      <w:r w:rsidR="004F3C14" w:rsidRPr="00F634B4">
        <w:t>the year. They are issued by a D</w:t>
      </w:r>
      <w:r w:rsidR="007576F1" w:rsidRPr="00F634B4">
        <w:t>etermination</w:t>
      </w:r>
      <w:r w:rsidR="00F950DD" w:rsidRPr="00F634B4">
        <w:t xml:space="preserve"> made by</w:t>
      </w:r>
      <w:r w:rsidR="007576F1" w:rsidRPr="00F634B4">
        <w:t xml:space="preserve"> the Finance Minister</w:t>
      </w:r>
      <w:r w:rsidR="00506561">
        <w:t xml:space="preserve"> (or </w:t>
      </w:r>
      <w:r w:rsidR="00764831" w:rsidRPr="00F634B4">
        <w:t>the responsible Presiding Officer</w:t>
      </w:r>
      <w:r w:rsidR="00506561">
        <w:t xml:space="preserve"> for a </w:t>
      </w:r>
      <w:r w:rsidR="00506561" w:rsidRPr="00F634B4">
        <w:t>Parliamentary Department</w:t>
      </w:r>
      <w:r w:rsidR="00506561">
        <w:t>) up to a statutory limit in the annual Appropriation Acts</w:t>
      </w:r>
      <w:r w:rsidR="00761E45" w:rsidRPr="00F634B4">
        <w:t>.</w:t>
      </w:r>
    </w:p>
    <w:p w:rsidR="00D0479D" w:rsidRDefault="00463BFD" w:rsidP="00D24E36">
      <w:r w:rsidRPr="00F634B4">
        <w:t>This Report disclose</w:t>
      </w:r>
      <w:r w:rsidR="00D934B7">
        <w:t>s</w:t>
      </w:r>
      <w:r w:rsidRPr="00F634B4">
        <w:t xml:space="preserve"> </w:t>
      </w:r>
      <w:r w:rsidR="00506561">
        <w:t xml:space="preserve">details </w:t>
      </w:r>
      <w:r w:rsidRPr="00F634B4">
        <w:t xml:space="preserve">of </w:t>
      </w:r>
      <w:r w:rsidR="009E3910">
        <w:t xml:space="preserve">the </w:t>
      </w:r>
      <w:r w:rsidR="00502188">
        <w:t xml:space="preserve">five </w:t>
      </w:r>
      <w:r w:rsidRPr="00F634B4">
        <w:t xml:space="preserve">Advances </w:t>
      </w:r>
      <w:r w:rsidR="00506561">
        <w:t xml:space="preserve">provided </w:t>
      </w:r>
      <w:r w:rsidR="00502188">
        <w:t>during the 2012-</w:t>
      </w:r>
      <w:r w:rsidRPr="00F634B4">
        <w:t>13 financial year</w:t>
      </w:r>
      <w:r w:rsidR="00E433EE">
        <w:t>.</w:t>
      </w:r>
    </w:p>
    <w:p w:rsidR="00C22C3B" w:rsidRDefault="004035B1" w:rsidP="00D24E36">
      <w:r>
        <w:t xml:space="preserve">All </w:t>
      </w:r>
      <w:r w:rsidR="00625AEC">
        <w:t xml:space="preserve">of </w:t>
      </w:r>
      <w:r w:rsidR="009E3910">
        <w:t xml:space="preserve">the </w:t>
      </w:r>
      <w:r w:rsidR="00C942A1">
        <w:t>Advances</w:t>
      </w:r>
      <w:r>
        <w:t xml:space="preserve"> issued were from </w:t>
      </w:r>
      <w:r w:rsidRPr="00D0479D">
        <w:rPr>
          <w:i/>
        </w:rPr>
        <w:t>Appropriation Act (No. 1) 2012</w:t>
      </w:r>
      <w:r w:rsidRPr="00D0479D">
        <w:rPr>
          <w:i/>
        </w:rPr>
        <w:noBreakHyphen/>
        <w:t>2013</w:t>
      </w:r>
      <w:r w:rsidR="00625AEC">
        <w:rPr>
          <w:i/>
        </w:rPr>
        <w:t xml:space="preserve"> </w:t>
      </w:r>
      <w:r>
        <w:t>which</w:t>
      </w:r>
      <w:r w:rsidR="00502188">
        <w:t>,</w:t>
      </w:r>
      <w:r>
        <w:t xml:space="preserve"> </w:t>
      </w:r>
      <w:r w:rsidR="00625AEC">
        <w:t>initially</w:t>
      </w:r>
      <w:r w:rsidR="00502188">
        <w:t>,</w:t>
      </w:r>
      <w:r w:rsidR="00625AEC">
        <w:t xml:space="preserve"> </w:t>
      </w:r>
      <w:r>
        <w:t>allow</w:t>
      </w:r>
      <w:r w:rsidR="00567A7B">
        <w:t>ed</w:t>
      </w:r>
      <w:r>
        <w:t xml:space="preserve"> the </w:t>
      </w:r>
      <w:r w:rsidR="00567A7B">
        <w:t xml:space="preserve">then </w:t>
      </w:r>
      <w:r>
        <w:t>Finance Minister to issue up to $</w:t>
      </w:r>
      <w:r w:rsidRPr="00F634B4">
        <w:t>295</w:t>
      </w:r>
      <w:r>
        <w:t xml:space="preserve"> million</w:t>
      </w:r>
      <w:r w:rsidR="0051384E">
        <w:t xml:space="preserve">.  This </w:t>
      </w:r>
      <w:r w:rsidR="00502188">
        <w:t>was later increased,</w:t>
      </w:r>
      <w:r w:rsidR="0051384E">
        <w:t xml:space="preserve"> </w:t>
      </w:r>
      <w:r w:rsidR="00502188">
        <w:t xml:space="preserve">through </w:t>
      </w:r>
      <w:r w:rsidR="0051384E">
        <w:t xml:space="preserve">the </w:t>
      </w:r>
      <w:r w:rsidR="0051384E" w:rsidRPr="00D24E36">
        <w:rPr>
          <w:i/>
        </w:rPr>
        <w:t>Appropriation Act (No. 3) 2012</w:t>
      </w:r>
      <w:r w:rsidR="0051384E" w:rsidRPr="00D24E36">
        <w:rPr>
          <w:i/>
        </w:rPr>
        <w:noBreakHyphen/>
        <w:t>2013</w:t>
      </w:r>
      <w:r w:rsidR="00502188">
        <w:t xml:space="preserve">, to a potential total </w:t>
      </w:r>
      <w:r w:rsidR="0051384E">
        <w:t xml:space="preserve">that could be issued in 2012-13 </w:t>
      </w:r>
      <w:r w:rsidR="00502188">
        <w:t xml:space="preserve">of </w:t>
      </w:r>
      <w:r w:rsidR="0051384E">
        <w:t>just over $</w:t>
      </w:r>
      <w:r w:rsidR="00502188">
        <w:t>426</w:t>
      </w:r>
      <w:r w:rsidR="0051384E">
        <w:t xml:space="preserve"> million</w:t>
      </w:r>
      <w:r>
        <w:t xml:space="preserve">. </w:t>
      </w:r>
      <w:r w:rsidR="0051384E">
        <w:t>Nonetheless, t</w:t>
      </w:r>
      <w:r w:rsidR="00D0479D">
        <w:t xml:space="preserve">he total amount issued </w:t>
      </w:r>
      <w:r w:rsidR="00C22C3B">
        <w:t xml:space="preserve">during 2012-13 </w:t>
      </w:r>
      <w:r w:rsidR="00D0479D">
        <w:t xml:space="preserve">was just under </w:t>
      </w:r>
      <w:r w:rsidR="00D0479D" w:rsidRPr="00D0479D">
        <w:t>$241</w:t>
      </w:r>
      <w:r w:rsidR="00E433EE">
        <w:t>.5 million.</w:t>
      </w:r>
    </w:p>
    <w:p w:rsidR="001E2BD5" w:rsidRPr="00F634B4" w:rsidRDefault="001E2BD5" w:rsidP="001E2BD5">
      <w:r>
        <w:t xml:space="preserve">The Australian National Audit Office (ANAO) provided an Independent Review Report </w:t>
      </w:r>
      <w:r w:rsidR="003538C3">
        <w:t xml:space="preserve">to the Minister for Finance </w:t>
      </w:r>
      <w:r>
        <w:t xml:space="preserve">on the process of issuing Advances in 2012-13: see the Attachment to this Report. </w:t>
      </w:r>
    </w:p>
    <w:p w:rsidR="00E433EE" w:rsidRPr="003D7BE6" w:rsidRDefault="00E433EE" w:rsidP="00E433EE">
      <w:pPr>
        <w:pStyle w:val="Heading2"/>
      </w:pPr>
      <w:bookmarkStart w:id="4" w:name="_Toc379718212"/>
      <w:bookmarkStart w:id="5" w:name="_Toc379748683"/>
      <w:r w:rsidRPr="003D7BE6">
        <w:t>Machinery of Government changes</w:t>
      </w:r>
      <w:bookmarkEnd w:id="4"/>
      <w:bookmarkEnd w:id="5"/>
    </w:p>
    <w:p w:rsidR="00E433EE" w:rsidRPr="00F634B4" w:rsidRDefault="00AC376F" w:rsidP="00AC376F">
      <w:r>
        <w:t>This Report refers to Departments by the names that applied when they received the relevant Advance. O</w:t>
      </w:r>
      <w:r w:rsidR="00E433EE" w:rsidRPr="00F634B4">
        <w:t>n</w:t>
      </w:r>
      <w:r>
        <w:t> </w:t>
      </w:r>
      <w:r w:rsidR="00E433EE" w:rsidRPr="00F634B4">
        <w:t xml:space="preserve">18 September 2013, </w:t>
      </w:r>
      <w:r>
        <w:t xml:space="preserve">the </w:t>
      </w:r>
      <w:r w:rsidR="00C942A1">
        <w:t xml:space="preserve">four </w:t>
      </w:r>
      <w:r w:rsidR="00E433EE">
        <w:t xml:space="preserve">Departments that </w:t>
      </w:r>
      <w:r w:rsidR="00C942A1">
        <w:t xml:space="preserve">had </w:t>
      </w:r>
      <w:r w:rsidR="00E433EE">
        <w:t>received Advances</w:t>
      </w:r>
      <w:r w:rsidR="00C942A1">
        <w:t xml:space="preserve"> during 2012-13 were affected </w:t>
      </w:r>
      <w:r>
        <w:t xml:space="preserve">by machinery of Government changes </w:t>
      </w:r>
      <w:r w:rsidR="00C942A1">
        <w:t>as follows</w:t>
      </w:r>
      <w:r w:rsidR="00E433EE">
        <w:t>:</w:t>
      </w:r>
    </w:p>
    <w:p w:rsidR="00E433EE" w:rsidRPr="00F634B4" w:rsidRDefault="00E433EE" w:rsidP="003538C3">
      <w:pPr>
        <w:pStyle w:val="ListParagraph"/>
        <w:numPr>
          <w:ilvl w:val="0"/>
          <w:numId w:val="42"/>
        </w:numPr>
        <w:spacing w:after="0"/>
      </w:pPr>
      <w:r>
        <w:t xml:space="preserve">the </w:t>
      </w:r>
      <w:r w:rsidRPr="00E433EE">
        <w:t xml:space="preserve">Department of Education, Employment and Workplace Relations </w:t>
      </w:r>
      <w:r>
        <w:t>(</w:t>
      </w:r>
      <w:r w:rsidRPr="00F634B4">
        <w:t>DEEWR</w:t>
      </w:r>
      <w:r>
        <w:t>)</w:t>
      </w:r>
      <w:r w:rsidR="00C942A1">
        <w:t xml:space="preserve"> was abolished: it was </w:t>
      </w:r>
      <w:r w:rsidRPr="00F634B4">
        <w:t xml:space="preserve">replaced by the Department of Education and </w:t>
      </w:r>
      <w:r w:rsidR="00C942A1">
        <w:t xml:space="preserve">the </w:t>
      </w:r>
      <w:r w:rsidRPr="00F634B4">
        <w:t>Department</w:t>
      </w:r>
      <w:r w:rsidR="00C942A1">
        <w:t> </w:t>
      </w:r>
      <w:r w:rsidRPr="00F634B4">
        <w:t>of</w:t>
      </w:r>
      <w:r w:rsidR="00C942A1">
        <w:t> </w:t>
      </w:r>
      <w:r w:rsidRPr="00F634B4">
        <w:t>Employment;</w:t>
      </w:r>
    </w:p>
    <w:p w:rsidR="00E433EE" w:rsidRPr="00F634B4" w:rsidRDefault="00E433EE" w:rsidP="003538C3">
      <w:pPr>
        <w:pStyle w:val="ListParagraph"/>
        <w:numPr>
          <w:ilvl w:val="0"/>
          <w:numId w:val="42"/>
        </w:numPr>
        <w:spacing w:after="0"/>
      </w:pPr>
      <w:r w:rsidRPr="00F634B4">
        <w:t>the Department of Regional Australia, Local Government, Arts and Sport (DRALGAS)</w:t>
      </w:r>
      <w:r w:rsidR="00C942A1">
        <w:t xml:space="preserve"> was </w:t>
      </w:r>
      <w:r w:rsidR="00C942A1" w:rsidRPr="00F634B4">
        <w:t>abolish</w:t>
      </w:r>
      <w:r w:rsidR="00C942A1">
        <w:t>ed, and its functions were transferred to several other Departments</w:t>
      </w:r>
      <w:r w:rsidRPr="00F634B4">
        <w:t>;</w:t>
      </w:r>
    </w:p>
    <w:p w:rsidR="00E433EE" w:rsidRPr="00F634B4" w:rsidRDefault="00E433EE" w:rsidP="003538C3">
      <w:pPr>
        <w:pStyle w:val="ListParagraph"/>
        <w:numPr>
          <w:ilvl w:val="0"/>
          <w:numId w:val="42"/>
        </w:numPr>
        <w:spacing w:after="0"/>
      </w:pPr>
      <w:r w:rsidRPr="00F634B4">
        <w:t xml:space="preserve">the Department of Families, Housing, Community Services and Indigenous Affairs (FaHCSIA) </w:t>
      </w:r>
      <w:r w:rsidR="00C942A1">
        <w:t xml:space="preserve">was renamed </w:t>
      </w:r>
      <w:r w:rsidRPr="00F634B4">
        <w:t>as the Department of Social Services; and</w:t>
      </w:r>
    </w:p>
    <w:p w:rsidR="00E433EE" w:rsidRPr="00F634B4" w:rsidRDefault="00E433EE" w:rsidP="003538C3">
      <w:pPr>
        <w:pStyle w:val="ListParagraph"/>
        <w:numPr>
          <w:ilvl w:val="0"/>
          <w:numId w:val="42"/>
        </w:numPr>
      </w:pPr>
      <w:proofErr w:type="gramStart"/>
      <w:r w:rsidRPr="00F634B4">
        <w:t>the</w:t>
      </w:r>
      <w:proofErr w:type="gramEnd"/>
      <w:r w:rsidRPr="00F634B4">
        <w:t xml:space="preserve"> Department of Health and Ageing (Health) </w:t>
      </w:r>
      <w:r w:rsidR="00C942A1">
        <w:t xml:space="preserve">was renamed as </w:t>
      </w:r>
      <w:r w:rsidRPr="00F634B4">
        <w:t>the Department</w:t>
      </w:r>
      <w:r w:rsidR="00C942A1">
        <w:t> of </w:t>
      </w:r>
      <w:r w:rsidRPr="00F634B4">
        <w:t>Health.</w:t>
      </w:r>
    </w:p>
    <w:p w:rsidR="00E433EE" w:rsidRDefault="00E433EE" w:rsidP="00E433EE">
      <w:pPr>
        <w:pStyle w:val="Heading2"/>
      </w:pPr>
      <w:bookmarkStart w:id="6" w:name="_Toc379748684"/>
      <w:r>
        <w:t>Overview for 2012-13</w:t>
      </w:r>
      <w:bookmarkEnd w:id="6"/>
    </w:p>
    <w:p w:rsidR="00BB2E88" w:rsidRDefault="00C942A1" w:rsidP="00502188">
      <w:pPr>
        <w:spacing w:after="240"/>
      </w:pPr>
      <w:r>
        <w:t xml:space="preserve">In short, four Departments sought five </w:t>
      </w:r>
      <w:r w:rsidR="00502188">
        <w:t>A</w:t>
      </w:r>
      <w:r>
        <w:t>dvances in 2012-13, addressing a total of six separate appropriations</w:t>
      </w:r>
      <w:r w:rsidR="00502188">
        <w:t xml:space="preserve"> (because </w:t>
      </w:r>
      <w:r>
        <w:t xml:space="preserve">one </w:t>
      </w:r>
      <w:r w:rsidR="00502188">
        <w:t xml:space="preserve">Advance </w:t>
      </w:r>
      <w:r>
        <w:t xml:space="preserve">addressed two administered outcome appropriations </w:t>
      </w:r>
      <w:r w:rsidR="00502188">
        <w:t xml:space="preserve">for </w:t>
      </w:r>
      <w:r>
        <w:t>Health</w:t>
      </w:r>
      <w:r w:rsidR="00502188">
        <w:t>)</w:t>
      </w:r>
      <w:r>
        <w:t>.  T</w:t>
      </w:r>
      <w:r w:rsidR="006C5C4F">
        <w:t xml:space="preserve">hree </w:t>
      </w:r>
      <w:r w:rsidR="00502188">
        <w:t>A</w:t>
      </w:r>
      <w:r w:rsidR="001E1FA8">
        <w:t xml:space="preserve">dvances were used in full and </w:t>
      </w:r>
      <w:r w:rsidR="006C5C4F">
        <w:t xml:space="preserve">two </w:t>
      </w:r>
      <w:r w:rsidR="001E1FA8">
        <w:t xml:space="preserve">were only </w:t>
      </w:r>
      <w:r w:rsidR="006C5C4F">
        <w:t xml:space="preserve">partially </w:t>
      </w:r>
      <w:r w:rsidR="001E1FA8">
        <w:t xml:space="preserve">used, </w:t>
      </w:r>
      <w:r w:rsidR="00D0479D">
        <w:t>with the</w:t>
      </w:r>
      <w:r w:rsidR="006C5C4F">
        <w:t>ir</w:t>
      </w:r>
      <w:r w:rsidR="00D0479D">
        <w:t xml:space="preserve"> combined underspend totalling just under</w:t>
      </w:r>
      <w:r w:rsidR="00176D32">
        <w:t xml:space="preserve"> </w:t>
      </w:r>
      <w:r w:rsidR="00D0479D" w:rsidRPr="00176D32">
        <w:t>$2</w:t>
      </w:r>
      <w:r w:rsidR="00176D32" w:rsidRPr="00176D32">
        <w:t>1.5</w:t>
      </w:r>
      <w:r w:rsidR="00D0479D" w:rsidRPr="00176D32">
        <w:t xml:space="preserve"> million</w:t>
      </w:r>
      <w:r w:rsidR="00502188">
        <w:t xml:space="preserve"> out of $241.5 million issued</w:t>
      </w:r>
      <w:r w:rsidR="00D5201D" w:rsidRPr="00176D32">
        <w:t>.</w:t>
      </w:r>
      <w:r w:rsidR="006C5C4F">
        <w:t xml:space="preserve"> </w:t>
      </w:r>
      <w:r w:rsidR="00BB2E88">
        <w:t xml:space="preserve">The </w:t>
      </w:r>
      <w:r w:rsidR="00C22C3B">
        <w:t xml:space="preserve">Advances, and the </w:t>
      </w:r>
      <w:r>
        <w:t xml:space="preserve">amounts </w:t>
      </w:r>
      <w:r w:rsidR="00C22C3B">
        <w:t>underspen</w:t>
      </w:r>
      <w:r>
        <w:t>t</w:t>
      </w:r>
      <w:r w:rsidR="00C22C3B">
        <w:t xml:space="preserve">, </w:t>
      </w:r>
      <w:r w:rsidR="00BB2E88">
        <w:t>can be summarised as follows:</w:t>
      </w:r>
    </w:p>
    <w:tbl>
      <w:tblPr>
        <w:tblStyle w:val="TableGrid"/>
        <w:tblW w:w="9459" w:type="dxa"/>
        <w:tblLayout w:type="fixed"/>
        <w:tblLook w:val="04A0"/>
      </w:tblPr>
      <w:tblGrid>
        <w:gridCol w:w="808"/>
        <w:gridCol w:w="28"/>
        <w:gridCol w:w="208"/>
        <w:gridCol w:w="2634"/>
        <w:gridCol w:w="2113"/>
        <w:gridCol w:w="1946"/>
        <w:gridCol w:w="1722"/>
      </w:tblGrid>
      <w:tr w:rsidR="00567A7B" w:rsidRPr="00D934B7" w:rsidTr="00567A7B">
        <w:tc>
          <w:tcPr>
            <w:tcW w:w="836" w:type="dxa"/>
            <w:gridSpan w:val="2"/>
            <w:tcBorders>
              <w:left w:val="nil"/>
              <w:bottom w:val="single" w:sz="4" w:space="0" w:color="auto"/>
              <w:right w:val="nil"/>
            </w:tcBorders>
          </w:tcPr>
          <w:p w:rsidR="00567A7B" w:rsidRPr="00D934B7" w:rsidRDefault="00567A7B" w:rsidP="00567A7B">
            <w:pPr>
              <w:spacing w:after="0"/>
              <w:jc w:val="center"/>
              <w:rPr>
                <w:b/>
                <w:szCs w:val="20"/>
              </w:rPr>
            </w:pPr>
            <w:r>
              <w:rPr>
                <w:b/>
                <w:szCs w:val="20"/>
              </w:rPr>
              <w:t>AFM No.</w:t>
            </w:r>
          </w:p>
        </w:tc>
        <w:tc>
          <w:tcPr>
            <w:tcW w:w="2842" w:type="dxa"/>
            <w:gridSpan w:val="2"/>
            <w:tcBorders>
              <w:left w:val="nil"/>
              <w:bottom w:val="single" w:sz="4" w:space="0" w:color="auto"/>
              <w:right w:val="nil"/>
            </w:tcBorders>
          </w:tcPr>
          <w:p w:rsidR="00567A7B" w:rsidRPr="00D934B7" w:rsidRDefault="00567A7B" w:rsidP="00567A7B">
            <w:pPr>
              <w:spacing w:after="0"/>
              <w:jc w:val="center"/>
              <w:rPr>
                <w:b/>
                <w:szCs w:val="20"/>
              </w:rPr>
            </w:pPr>
            <w:r w:rsidRPr="00D934B7">
              <w:rPr>
                <w:b/>
                <w:szCs w:val="20"/>
              </w:rPr>
              <w:t>Department</w:t>
            </w:r>
            <w:r>
              <w:rPr>
                <w:b/>
                <w:szCs w:val="20"/>
              </w:rPr>
              <w:t>/Outcome</w:t>
            </w:r>
          </w:p>
        </w:tc>
        <w:tc>
          <w:tcPr>
            <w:tcW w:w="2113" w:type="dxa"/>
            <w:tcBorders>
              <w:left w:val="nil"/>
              <w:bottom w:val="single" w:sz="4" w:space="0" w:color="auto"/>
              <w:right w:val="nil"/>
            </w:tcBorders>
          </w:tcPr>
          <w:p w:rsidR="00567A7B" w:rsidRPr="00D934B7" w:rsidRDefault="00567A7B" w:rsidP="00567A7B">
            <w:pPr>
              <w:spacing w:after="0"/>
              <w:jc w:val="center"/>
              <w:rPr>
                <w:b/>
                <w:szCs w:val="20"/>
              </w:rPr>
            </w:pPr>
            <w:r>
              <w:rPr>
                <w:b/>
                <w:szCs w:val="20"/>
              </w:rPr>
              <w:t xml:space="preserve">Advance </w:t>
            </w:r>
            <w:r w:rsidRPr="00D934B7">
              <w:rPr>
                <w:b/>
                <w:szCs w:val="20"/>
              </w:rPr>
              <w:t>Provided</w:t>
            </w:r>
          </w:p>
        </w:tc>
        <w:tc>
          <w:tcPr>
            <w:tcW w:w="1946" w:type="dxa"/>
            <w:tcBorders>
              <w:left w:val="nil"/>
              <w:bottom w:val="single" w:sz="4" w:space="0" w:color="auto"/>
              <w:right w:val="nil"/>
            </w:tcBorders>
          </w:tcPr>
          <w:p w:rsidR="00567A7B" w:rsidRPr="00D934B7" w:rsidRDefault="00567A7B" w:rsidP="00567A7B">
            <w:pPr>
              <w:spacing w:after="0"/>
              <w:jc w:val="center"/>
              <w:rPr>
                <w:b/>
                <w:szCs w:val="20"/>
              </w:rPr>
            </w:pPr>
            <w:r w:rsidRPr="00D934B7">
              <w:rPr>
                <w:b/>
                <w:szCs w:val="20"/>
              </w:rPr>
              <w:t>Expenditure</w:t>
            </w:r>
          </w:p>
        </w:tc>
        <w:tc>
          <w:tcPr>
            <w:tcW w:w="1722" w:type="dxa"/>
            <w:tcBorders>
              <w:left w:val="nil"/>
              <w:bottom w:val="single" w:sz="4" w:space="0" w:color="auto"/>
              <w:right w:val="nil"/>
            </w:tcBorders>
          </w:tcPr>
          <w:p w:rsidR="00567A7B" w:rsidRPr="00D934B7" w:rsidRDefault="00C22C3B" w:rsidP="00567A7B">
            <w:pPr>
              <w:spacing w:after="0"/>
              <w:jc w:val="center"/>
              <w:rPr>
                <w:b/>
                <w:szCs w:val="20"/>
              </w:rPr>
            </w:pPr>
            <w:r>
              <w:rPr>
                <w:b/>
                <w:szCs w:val="20"/>
              </w:rPr>
              <w:t>Underspend</w:t>
            </w:r>
          </w:p>
        </w:tc>
      </w:tr>
      <w:tr w:rsidR="00567A7B" w:rsidRPr="004274E1" w:rsidTr="00567A7B">
        <w:tc>
          <w:tcPr>
            <w:tcW w:w="808" w:type="dxa"/>
            <w:tcBorders>
              <w:top w:val="nil"/>
              <w:left w:val="nil"/>
              <w:bottom w:val="nil"/>
              <w:right w:val="nil"/>
            </w:tcBorders>
          </w:tcPr>
          <w:p w:rsidR="00506561" w:rsidRPr="003D7BE6" w:rsidRDefault="00506561" w:rsidP="00506561">
            <w:pPr>
              <w:spacing w:after="0"/>
              <w:jc w:val="right"/>
              <w:rPr>
                <w:szCs w:val="20"/>
              </w:rPr>
            </w:pPr>
            <w:r>
              <w:rPr>
                <w:szCs w:val="20"/>
              </w:rPr>
              <w:t>1</w:t>
            </w:r>
          </w:p>
        </w:tc>
        <w:tc>
          <w:tcPr>
            <w:tcW w:w="236" w:type="dxa"/>
            <w:gridSpan w:val="2"/>
            <w:tcBorders>
              <w:top w:val="nil"/>
              <w:left w:val="nil"/>
              <w:bottom w:val="nil"/>
              <w:right w:val="nil"/>
            </w:tcBorders>
          </w:tcPr>
          <w:p w:rsidR="00506561" w:rsidRDefault="00506561" w:rsidP="00567A7B">
            <w:pPr>
              <w:spacing w:after="0"/>
              <w:rPr>
                <w:szCs w:val="20"/>
              </w:rPr>
            </w:pPr>
          </w:p>
        </w:tc>
        <w:tc>
          <w:tcPr>
            <w:tcW w:w="2634" w:type="dxa"/>
            <w:tcBorders>
              <w:top w:val="nil"/>
              <w:left w:val="nil"/>
              <w:bottom w:val="nil"/>
              <w:right w:val="nil"/>
            </w:tcBorders>
          </w:tcPr>
          <w:p w:rsidR="00506561" w:rsidRPr="003D7BE6" w:rsidRDefault="00506561" w:rsidP="00567A7B">
            <w:pPr>
              <w:spacing w:after="0"/>
              <w:jc w:val="left"/>
              <w:rPr>
                <w:szCs w:val="20"/>
              </w:rPr>
            </w:pPr>
            <w:r>
              <w:rPr>
                <w:szCs w:val="20"/>
              </w:rPr>
              <w:t>DEEWR, outcome 4</w:t>
            </w:r>
          </w:p>
        </w:tc>
        <w:tc>
          <w:tcPr>
            <w:tcW w:w="2113"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24,117,394.97</w:t>
            </w:r>
          </w:p>
        </w:tc>
        <w:tc>
          <w:tcPr>
            <w:tcW w:w="1946"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3,470,170.86</w:t>
            </w:r>
          </w:p>
        </w:tc>
        <w:tc>
          <w:tcPr>
            <w:tcW w:w="1722" w:type="dxa"/>
            <w:tcBorders>
              <w:top w:val="nil"/>
              <w:left w:val="nil"/>
              <w:bottom w:val="nil"/>
              <w:right w:val="nil"/>
            </w:tcBorders>
            <w:shd w:val="clear" w:color="auto" w:fill="auto"/>
          </w:tcPr>
          <w:p w:rsidR="00506561" w:rsidRPr="00176D32" w:rsidRDefault="00506561" w:rsidP="00176D32">
            <w:pPr>
              <w:spacing w:after="0"/>
              <w:jc w:val="right"/>
              <w:rPr>
                <w:szCs w:val="20"/>
              </w:rPr>
            </w:pPr>
            <w:r w:rsidRPr="00176D32">
              <w:rPr>
                <w:szCs w:val="20"/>
              </w:rPr>
              <w:t>$20,647,224.11</w:t>
            </w:r>
          </w:p>
        </w:tc>
      </w:tr>
      <w:tr w:rsidR="00567A7B" w:rsidRPr="003D7BE6" w:rsidTr="00567A7B">
        <w:tc>
          <w:tcPr>
            <w:tcW w:w="808" w:type="dxa"/>
            <w:tcBorders>
              <w:top w:val="nil"/>
              <w:left w:val="nil"/>
              <w:bottom w:val="nil"/>
              <w:right w:val="nil"/>
            </w:tcBorders>
          </w:tcPr>
          <w:p w:rsidR="00506561" w:rsidRPr="003D7BE6" w:rsidRDefault="00506561" w:rsidP="00506561">
            <w:pPr>
              <w:spacing w:after="0"/>
              <w:jc w:val="right"/>
              <w:rPr>
                <w:szCs w:val="20"/>
              </w:rPr>
            </w:pPr>
            <w:r>
              <w:rPr>
                <w:szCs w:val="20"/>
              </w:rPr>
              <w:t>2</w:t>
            </w:r>
          </w:p>
        </w:tc>
        <w:tc>
          <w:tcPr>
            <w:tcW w:w="236" w:type="dxa"/>
            <w:gridSpan w:val="2"/>
            <w:tcBorders>
              <w:top w:val="nil"/>
              <w:left w:val="nil"/>
              <w:bottom w:val="nil"/>
              <w:right w:val="nil"/>
            </w:tcBorders>
          </w:tcPr>
          <w:p w:rsidR="00506561" w:rsidRDefault="00506561" w:rsidP="00567A7B">
            <w:pPr>
              <w:spacing w:after="0"/>
              <w:rPr>
                <w:szCs w:val="20"/>
              </w:rPr>
            </w:pPr>
          </w:p>
        </w:tc>
        <w:tc>
          <w:tcPr>
            <w:tcW w:w="2634" w:type="dxa"/>
            <w:tcBorders>
              <w:top w:val="nil"/>
              <w:left w:val="nil"/>
              <w:bottom w:val="nil"/>
              <w:right w:val="nil"/>
            </w:tcBorders>
          </w:tcPr>
          <w:p w:rsidR="00506561" w:rsidRPr="003D7BE6" w:rsidRDefault="00506561" w:rsidP="00567A7B">
            <w:pPr>
              <w:spacing w:after="0"/>
              <w:jc w:val="left"/>
              <w:rPr>
                <w:szCs w:val="20"/>
              </w:rPr>
            </w:pPr>
            <w:r>
              <w:rPr>
                <w:szCs w:val="20"/>
              </w:rPr>
              <w:t>Health, outcome 13</w:t>
            </w:r>
          </w:p>
        </w:tc>
        <w:tc>
          <w:tcPr>
            <w:tcW w:w="2113"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107,000,000.00</w:t>
            </w:r>
          </w:p>
        </w:tc>
        <w:tc>
          <w:tcPr>
            <w:tcW w:w="1946"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107,000,000.00</w:t>
            </w:r>
          </w:p>
        </w:tc>
        <w:tc>
          <w:tcPr>
            <w:tcW w:w="1722" w:type="dxa"/>
            <w:tcBorders>
              <w:top w:val="nil"/>
              <w:left w:val="nil"/>
              <w:bottom w:val="nil"/>
              <w:right w:val="nil"/>
            </w:tcBorders>
          </w:tcPr>
          <w:p w:rsidR="00506561" w:rsidRPr="003D7BE6" w:rsidRDefault="00506561" w:rsidP="00567A7B">
            <w:pPr>
              <w:spacing w:after="0"/>
              <w:jc w:val="right"/>
              <w:rPr>
                <w:szCs w:val="20"/>
              </w:rPr>
            </w:pPr>
            <w:r>
              <w:rPr>
                <w:szCs w:val="20"/>
              </w:rPr>
              <w:t>0</w:t>
            </w:r>
          </w:p>
        </w:tc>
      </w:tr>
      <w:tr w:rsidR="00567A7B" w:rsidRPr="003D7BE6" w:rsidTr="00567A7B">
        <w:tc>
          <w:tcPr>
            <w:tcW w:w="808" w:type="dxa"/>
            <w:tcBorders>
              <w:top w:val="nil"/>
              <w:left w:val="nil"/>
              <w:bottom w:val="nil"/>
              <w:right w:val="nil"/>
            </w:tcBorders>
          </w:tcPr>
          <w:p w:rsidR="00506561" w:rsidRPr="003D7BE6" w:rsidRDefault="00506561" w:rsidP="00506561">
            <w:pPr>
              <w:spacing w:after="0"/>
              <w:jc w:val="right"/>
              <w:rPr>
                <w:szCs w:val="20"/>
              </w:rPr>
            </w:pPr>
            <w:r>
              <w:rPr>
                <w:szCs w:val="20"/>
              </w:rPr>
              <w:t>3</w:t>
            </w:r>
          </w:p>
        </w:tc>
        <w:tc>
          <w:tcPr>
            <w:tcW w:w="236" w:type="dxa"/>
            <w:gridSpan w:val="2"/>
            <w:tcBorders>
              <w:top w:val="nil"/>
              <w:left w:val="nil"/>
              <w:bottom w:val="nil"/>
              <w:right w:val="nil"/>
            </w:tcBorders>
          </w:tcPr>
          <w:p w:rsidR="00506561" w:rsidRDefault="00506561" w:rsidP="00567A7B">
            <w:pPr>
              <w:spacing w:after="0"/>
              <w:rPr>
                <w:szCs w:val="20"/>
              </w:rPr>
            </w:pPr>
          </w:p>
        </w:tc>
        <w:tc>
          <w:tcPr>
            <w:tcW w:w="2634" w:type="dxa"/>
            <w:tcBorders>
              <w:top w:val="nil"/>
              <w:left w:val="nil"/>
              <w:bottom w:val="nil"/>
              <w:right w:val="nil"/>
            </w:tcBorders>
          </w:tcPr>
          <w:p w:rsidR="00506561" w:rsidRPr="003D7BE6" w:rsidRDefault="00506561" w:rsidP="00567A7B">
            <w:pPr>
              <w:spacing w:after="0"/>
              <w:jc w:val="left"/>
              <w:rPr>
                <w:szCs w:val="20"/>
              </w:rPr>
            </w:pPr>
            <w:r>
              <w:rPr>
                <w:szCs w:val="20"/>
              </w:rPr>
              <w:t>FaHCSIA, outcome 1</w:t>
            </w:r>
          </w:p>
        </w:tc>
        <w:tc>
          <w:tcPr>
            <w:tcW w:w="2113"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91,017,000.00</w:t>
            </w:r>
          </w:p>
        </w:tc>
        <w:tc>
          <w:tcPr>
            <w:tcW w:w="1946"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91,017,000.00</w:t>
            </w:r>
          </w:p>
        </w:tc>
        <w:tc>
          <w:tcPr>
            <w:tcW w:w="1722" w:type="dxa"/>
            <w:tcBorders>
              <w:top w:val="nil"/>
              <w:left w:val="nil"/>
              <w:bottom w:val="nil"/>
              <w:right w:val="nil"/>
            </w:tcBorders>
          </w:tcPr>
          <w:p w:rsidR="00506561" w:rsidRPr="003D7BE6" w:rsidRDefault="00506561" w:rsidP="00567A7B">
            <w:pPr>
              <w:spacing w:after="0"/>
              <w:jc w:val="right"/>
              <w:rPr>
                <w:szCs w:val="20"/>
              </w:rPr>
            </w:pPr>
            <w:r>
              <w:rPr>
                <w:szCs w:val="20"/>
              </w:rPr>
              <w:t>0</w:t>
            </w:r>
          </w:p>
        </w:tc>
      </w:tr>
      <w:tr w:rsidR="00567A7B" w:rsidRPr="003D7BE6" w:rsidTr="00567A7B">
        <w:tc>
          <w:tcPr>
            <w:tcW w:w="808" w:type="dxa"/>
            <w:tcBorders>
              <w:top w:val="nil"/>
              <w:left w:val="nil"/>
              <w:bottom w:val="nil"/>
              <w:right w:val="nil"/>
            </w:tcBorders>
          </w:tcPr>
          <w:p w:rsidR="00506561" w:rsidRPr="003D7BE6" w:rsidRDefault="00506561" w:rsidP="00506561">
            <w:pPr>
              <w:spacing w:after="0"/>
              <w:jc w:val="right"/>
              <w:rPr>
                <w:szCs w:val="20"/>
              </w:rPr>
            </w:pPr>
            <w:r>
              <w:rPr>
                <w:szCs w:val="20"/>
              </w:rPr>
              <w:t>4</w:t>
            </w:r>
          </w:p>
        </w:tc>
        <w:tc>
          <w:tcPr>
            <w:tcW w:w="236" w:type="dxa"/>
            <w:gridSpan w:val="2"/>
            <w:vMerge w:val="restart"/>
            <w:tcBorders>
              <w:top w:val="nil"/>
              <w:left w:val="nil"/>
              <w:right w:val="nil"/>
            </w:tcBorders>
          </w:tcPr>
          <w:p w:rsidR="00506561" w:rsidRPr="00506561" w:rsidRDefault="00506561" w:rsidP="00567A7B">
            <w:pPr>
              <w:spacing w:after="0"/>
              <w:rPr>
                <w:sz w:val="44"/>
                <w:szCs w:val="44"/>
              </w:rPr>
            </w:pPr>
            <w:r w:rsidRPr="00506561">
              <w:rPr>
                <w:sz w:val="44"/>
                <w:szCs w:val="44"/>
              </w:rPr>
              <w:t>}</w:t>
            </w:r>
          </w:p>
        </w:tc>
        <w:tc>
          <w:tcPr>
            <w:tcW w:w="2634" w:type="dxa"/>
            <w:tcBorders>
              <w:top w:val="nil"/>
              <w:left w:val="nil"/>
              <w:bottom w:val="nil"/>
              <w:right w:val="nil"/>
            </w:tcBorders>
          </w:tcPr>
          <w:p w:rsidR="00506561" w:rsidRPr="003D7BE6" w:rsidRDefault="00506561" w:rsidP="00567A7B">
            <w:pPr>
              <w:spacing w:after="0"/>
              <w:jc w:val="left"/>
              <w:rPr>
                <w:szCs w:val="20"/>
              </w:rPr>
            </w:pPr>
            <w:r>
              <w:rPr>
                <w:szCs w:val="20"/>
              </w:rPr>
              <w:t>Health, outcome 10</w:t>
            </w:r>
          </w:p>
        </w:tc>
        <w:tc>
          <w:tcPr>
            <w:tcW w:w="2113"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12,500,000.00</w:t>
            </w:r>
          </w:p>
        </w:tc>
        <w:tc>
          <w:tcPr>
            <w:tcW w:w="1946"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12,000,000.00</w:t>
            </w:r>
          </w:p>
        </w:tc>
        <w:tc>
          <w:tcPr>
            <w:tcW w:w="1722" w:type="dxa"/>
            <w:tcBorders>
              <w:top w:val="nil"/>
              <w:left w:val="nil"/>
              <w:bottom w:val="nil"/>
              <w:right w:val="nil"/>
            </w:tcBorders>
          </w:tcPr>
          <w:p w:rsidR="00506561" w:rsidRPr="003D7BE6" w:rsidRDefault="00506561" w:rsidP="00567A7B">
            <w:pPr>
              <w:spacing w:after="0"/>
              <w:jc w:val="right"/>
              <w:rPr>
                <w:szCs w:val="20"/>
              </w:rPr>
            </w:pPr>
            <w:r>
              <w:rPr>
                <w:szCs w:val="20"/>
              </w:rPr>
              <w:t>$500,000.00</w:t>
            </w:r>
          </w:p>
        </w:tc>
      </w:tr>
      <w:tr w:rsidR="00567A7B" w:rsidRPr="003D7BE6" w:rsidTr="00567A7B">
        <w:tc>
          <w:tcPr>
            <w:tcW w:w="808" w:type="dxa"/>
            <w:tcBorders>
              <w:top w:val="nil"/>
              <w:left w:val="nil"/>
              <w:bottom w:val="nil"/>
              <w:right w:val="nil"/>
            </w:tcBorders>
          </w:tcPr>
          <w:p w:rsidR="00506561" w:rsidRPr="003D7BE6" w:rsidRDefault="00506561" w:rsidP="00506561">
            <w:pPr>
              <w:spacing w:after="0"/>
              <w:jc w:val="right"/>
              <w:rPr>
                <w:szCs w:val="20"/>
              </w:rPr>
            </w:pPr>
            <w:r>
              <w:rPr>
                <w:szCs w:val="20"/>
              </w:rPr>
              <w:t>4</w:t>
            </w:r>
          </w:p>
        </w:tc>
        <w:tc>
          <w:tcPr>
            <w:tcW w:w="236" w:type="dxa"/>
            <w:gridSpan w:val="2"/>
            <w:vMerge/>
            <w:tcBorders>
              <w:left w:val="nil"/>
              <w:bottom w:val="nil"/>
              <w:right w:val="nil"/>
            </w:tcBorders>
          </w:tcPr>
          <w:p w:rsidR="00506561" w:rsidRDefault="00506561" w:rsidP="00567A7B">
            <w:pPr>
              <w:spacing w:after="0"/>
              <w:rPr>
                <w:szCs w:val="20"/>
              </w:rPr>
            </w:pPr>
          </w:p>
        </w:tc>
        <w:tc>
          <w:tcPr>
            <w:tcW w:w="2634" w:type="dxa"/>
            <w:tcBorders>
              <w:top w:val="nil"/>
              <w:left w:val="nil"/>
              <w:bottom w:val="nil"/>
              <w:right w:val="nil"/>
            </w:tcBorders>
          </w:tcPr>
          <w:p w:rsidR="00506561" w:rsidRPr="003D7BE6" w:rsidRDefault="00506561" w:rsidP="00567A7B">
            <w:pPr>
              <w:spacing w:after="0"/>
              <w:jc w:val="left"/>
              <w:rPr>
                <w:szCs w:val="20"/>
              </w:rPr>
            </w:pPr>
            <w:r>
              <w:rPr>
                <w:szCs w:val="20"/>
              </w:rPr>
              <w:t>Health, outcome 14</w:t>
            </w:r>
          </w:p>
        </w:tc>
        <w:tc>
          <w:tcPr>
            <w:tcW w:w="2113"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2,200,000.00</w:t>
            </w:r>
          </w:p>
        </w:tc>
        <w:tc>
          <w:tcPr>
            <w:tcW w:w="1946" w:type="dxa"/>
            <w:tcBorders>
              <w:top w:val="nil"/>
              <w:left w:val="nil"/>
              <w:bottom w:val="nil"/>
              <w:right w:val="nil"/>
            </w:tcBorders>
          </w:tcPr>
          <w:p w:rsidR="00506561" w:rsidRPr="003D7BE6" w:rsidRDefault="00506561" w:rsidP="00567A7B">
            <w:pPr>
              <w:spacing w:after="0"/>
              <w:jc w:val="right"/>
              <w:rPr>
                <w:szCs w:val="20"/>
              </w:rPr>
            </w:pPr>
            <w:r>
              <w:rPr>
                <w:szCs w:val="20"/>
              </w:rPr>
              <w:t>$</w:t>
            </w:r>
            <w:r w:rsidRPr="003D7BE6">
              <w:rPr>
                <w:szCs w:val="20"/>
              </w:rPr>
              <w:t>2,040,247.97</w:t>
            </w:r>
          </w:p>
        </w:tc>
        <w:tc>
          <w:tcPr>
            <w:tcW w:w="1722" w:type="dxa"/>
            <w:tcBorders>
              <w:top w:val="nil"/>
              <w:left w:val="nil"/>
              <w:bottom w:val="nil"/>
              <w:right w:val="nil"/>
            </w:tcBorders>
          </w:tcPr>
          <w:p w:rsidR="00506561" w:rsidRPr="00176D32" w:rsidRDefault="00506561" w:rsidP="00176D32">
            <w:pPr>
              <w:spacing w:after="0"/>
              <w:jc w:val="right"/>
              <w:rPr>
                <w:szCs w:val="20"/>
              </w:rPr>
            </w:pPr>
            <w:r w:rsidRPr="00176D32">
              <w:rPr>
                <w:szCs w:val="20"/>
              </w:rPr>
              <w:t>$</w:t>
            </w:r>
            <w:r>
              <w:rPr>
                <w:szCs w:val="20"/>
              </w:rPr>
              <w:t>159,752.03</w:t>
            </w:r>
          </w:p>
        </w:tc>
      </w:tr>
      <w:tr w:rsidR="00567A7B" w:rsidRPr="003D7BE6" w:rsidTr="00567A7B">
        <w:tc>
          <w:tcPr>
            <w:tcW w:w="808" w:type="dxa"/>
            <w:tcBorders>
              <w:top w:val="nil"/>
              <w:left w:val="nil"/>
              <w:bottom w:val="single" w:sz="4" w:space="0" w:color="auto"/>
              <w:right w:val="nil"/>
            </w:tcBorders>
          </w:tcPr>
          <w:p w:rsidR="00506561" w:rsidRPr="003D7BE6" w:rsidRDefault="00506561" w:rsidP="00506561">
            <w:pPr>
              <w:spacing w:after="0"/>
              <w:jc w:val="right"/>
              <w:rPr>
                <w:szCs w:val="20"/>
              </w:rPr>
            </w:pPr>
            <w:r>
              <w:rPr>
                <w:szCs w:val="20"/>
              </w:rPr>
              <w:t>5</w:t>
            </w:r>
          </w:p>
        </w:tc>
        <w:tc>
          <w:tcPr>
            <w:tcW w:w="236" w:type="dxa"/>
            <w:gridSpan w:val="2"/>
            <w:tcBorders>
              <w:top w:val="nil"/>
              <w:left w:val="nil"/>
              <w:bottom w:val="single" w:sz="4" w:space="0" w:color="auto"/>
              <w:right w:val="nil"/>
            </w:tcBorders>
          </w:tcPr>
          <w:p w:rsidR="00506561" w:rsidRDefault="00506561" w:rsidP="00567A7B">
            <w:pPr>
              <w:spacing w:after="0"/>
              <w:rPr>
                <w:szCs w:val="20"/>
              </w:rPr>
            </w:pPr>
          </w:p>
        </w:tc>
        <w:tc>
          <w:tcPr>
            <w:tcW w:w="2634" w:type="dxa"/>
            <w:tcBorders>
              <w:top w:val="nil"/>
              <w:left w:val="nil"/>
              <w:bottom w:val="single" w:sz="4" w:space="0" w:color="auto"/>
              <w:right w:val="nil"/>
            </w:tcBorders>
          </w:tcPr>
          <w:p w:rsidR="00506561" w:rsidRPr="003D7BE6" w:rsidRDefault="00506561" w:rsidP="00567A7B">
            <w:pPr>
              <w:spacing w:after="0"/>
              <w:jc w:val="left"/>
              <w:rPr>
                <w:szCs w:val="20"/>
              </w:rPr>
            </w:pPr>
            <w:r>
              <w:rPr>
                <w:szCs w:val="20"/>
              </w:rPr>
              <w:t>DRALGAS, outcome 4</w:t>
            </w:r>
          </w:p>
        </w:tc>
        <w:tc>
          <w:tcPr>
            <w:tcW w:w="2113" w:type="dxa"/>
            <w:tcBorders>
              <w:top w:val="nil"/>
              <w:left w:val="nil"/>
              <w:bottom w:val="single" w:sz="4" w:space="0" w:color="auto"/>
              <w:right w:val="nil"/>
            </w:tcBorders>
          </w:tcPr>
          <w:p w:rsidR="00506561" w:rsidRPr="003D7BE6" w:rsidRDefault="00506561" w:rsidP="00567A7B">
            <w:pPr>
              <w:spacing w:after="0"/>
              <w:jc w:val="right"/>
              <w:rPr>
                <w:szCs w:val="20"/>
              </w:rPr>
            </w:pPr>
            <w:r>
              <w:rPr>
                <w:szCs w:val="20"/>
              </w:rPr>
              <w:t>$</w:t>
            </w:r>
            <w:r w:rsidRPr="003D7BE6">
              <w:rPr>
                <w:szCs w:val="20"/>
              </w:rPr>
              <w:t>4,632,500.00</w:t>
            </w:r>
          </w:p>
        </w:tc>
        <w:tc>
          <w:tcPr>
            <w:tcW w:w="1946" w:type="dxa"/>
            <w:tcBorders>
              <w:top w:val="nil"/>
              <w:left w:val="nil"/>
              <w:bottom w:val="single" w:sz="4" w:space="0" w:color="auto"/>
              <w:right w:val="nil"/>
            </w:tcBorders>
          </w:tcPr>
          <w:p w:rsidR="00506561" w:rsidRPr="003D7BE6" w:rsidRDefault="00506561" w:rsidP="00567A7B">
            <w:pPr>
              <w:spacing w:after="0"/>
              <w:jc w:val="right"/>
              <w:rPr>
                <w:szCs w:val="20"/>
              </w:rPr>
            </w:pPr>
            <w:r>
              <w:rPr>
                <w:szCs w:val="20"/>
              </w:rPr>
              <w:t>$</w:t>
            </w:r>
            <w:r w:rsidRPr="003D7BE6">
              <w:rPr>
                <w:szCs w:val="20"/>
              </w:rPr>
              <w:t>4,632,500.00</w:t>
            </w:r>
          </w:p>
        </w:tc>
        <w:tc>
          <w:tcPr>
            <w:tcW w:w="1722" w:type="dxa"/>
            <w:tcBorders>
              <w:top w:val="nil"/>
              <w:left w:val="nil"/>
              <w:bottom w:val="single" w:sz="4" w:space="0" w:color="auto"/>
              <w:right w:val="nil"/>
            </w:tcBorders>
          </w:tcPr>
          <w:p w:rsidR="00506561" w:rsidRPr="003D7BE6" w:rsidRDefault="00506561" w:rsidP="00567A7B">
            <w:pPr>
              <w:spacing w:after="0"/>
              <w:jc w:val="right"/>
              <w:rPr>
                <w:szCs w:val="20"/>
              </w:rPr>
            </w:pPr>
            <w:r>
              <w:rPr>
                <w:szCs w:val="20"/>
              </w:rPr>
              <w:t>0</w:t>
            </w:r>
          </w:p>
        </w:tc>
      </w:tr>
      <w:tr w:rsidR="00567A7B" w:rsidRPr="003D7BE6" w:rsidTr="00567A7B">
        <w:tc>
          <w:tcPr>
            <w:tcW w:w="808" w:type="dxa"/>
            <w:tcBorders>
              <w:top w:val="single" w:sz="4" w:space="0" w:color="auto"/>
              <w:left w:val="nil"/>
              <w:right w:val="nil"/>
            </w:tcBorders>
          </w:tcPr>
          <w:p w:rsidR="00506561" w:rsidRPr="003538C3" w:rsidRDefault="003538C3" w:rsidP="00506561">
            <w:pPr>
              <w:spacing w:after="0"/>
              <w:jc w:val="right"/>
              <w:rPr>
                <w:b/>
                <w:szCs w:val="20"/>
              </w:rPr>
            </w:pPr>
            <w:r w:rsidRPr="003538C3">
              <w:rPr>
                <w:b/>
                <w:szCs w:val="20"/>
              </w:rPr>
              <w:t>Total</w:t>
            </w:r>
          </w:p>
        </w:tc>
        <w:tc>
          <w:tcPr>
            <w:tcW w:w="236" w:type="dxa"/>
            <w:gridSpan w:val="2"/>
            <w:tcBorders>
              <w:top w:val="single" w:sz="4" w:space="0" w:color="auto"/>
              <w:left w:val="nil"/>
              <w:right w:val="nil"/>
            </w:tcBorders>
          </w:tcPr>
          <w:p w:rsidR="00506561" w:rsidRPr="003D7BE6" w:rsidRDefault="00506561" w:rsidP="00567A7B">
            <w:pPr>
              <w:spacing w:after="0"/>
              <w:rPr>
                <w:szCs w:val="20"/>
              </w:rPr>
            </w:pPr>
          </w:p>
        </w:tc>
        <w:tc>
          <w:tcPr>
            <w:tcW w:w="2634" w:type="dxa"/>
            <w:tcBorders>
              <w:top w:val="single" w:sz="4" w:space="0" w:color="auto"/>
              <w:left w:val="nil"/>
              <w:right w:val="nil"/>
            </w:tcBorders>
          </w:tcPr>
          <w:p w:rsidR="00506561" w:rsidRPr="003D7BE6" w:rsidRDefault="00506561" w:rsidP="00567A7B">
            <w:pPr>
              <w:spacing w:after="0"/>
              <w:jc w:val="left"/>
              <w:rPr>
                <w:szCs w:val="20"/>
              </w:rPr>
            </w:pPr>
          </w:p>
        </w:tc>
        <w:tc>
          <w:tcPr>
            <w:tcW w:w="2113" w:type="dxa"/>
            <w:tcBorders>
              <w:top w:val="single" w:sz="4" w:space="0" w:color="auto"/>
              <w:left w:val="nil"/>
              <w:right w:val="nil"/>
            </w:tcBorders>
          </w:tcPr>
          <w:p w:rsidR="00506561" w:rsidRPr="003D7BE6" w:rsidRDefault="00506561" w:rsidP="00567A7B">
            <w:pPr>
              <w:spacing w:after="0"/>
              <w:jc w:val="right"/>
              <w:rPr>
                <w:szCs w:val="20"/>
              </w:rPr>
            </w:pPr>
            <w:r>
              <w:rPr>
                <w:b/>
                <w:szCs w:val="20"/>
              </w:rPr>
              <w:t>$</w:t>
            </w:r>
            <w:r w:rsidRPr="003D7BE6">
              <w:rPr>
                <w:b/>
                <w:szCs w:val="20"/>
              </w:rPr>
              <w:t>241,466,894.97</w:t>
            </w:r>
          </w:p>
        </w:tc>
        <w:tc>
          <w:tcPr>
            <w:tcW w:w="1946" w:type="dxa"/>
            <w:tcBorders>
              <w:top w:val="single" w:sz="4" w:space="0" w:color="auto"/>
              <w:left w:val="nil"/>
              <w:right w:val="nil"/>
            </w:tcBorders>
          </w:tcPr>
          <w:p w:rsidR="00506561" w:rsidRPr="003D7BE6" w:rsidRDefault="00506561" w:rsidP="00567A7B">
            <w:pPr>
              <w:spacing w:after="0"/>
              <w:jc w:val="right"/>
              <w:rPr>
                <w:szCs w:val="20"/>
              </w:rPr>
            </w:pPr>
            <w:r>
              <w:rPr>
                <w:b/>
                <w:szCs w:val="20"/>
              </w:rPr>
              <w:t>$</w:t>
            </w:r>
            <w:r w:rsidRPr="003D7BE6">
              <w:rPr>
                <w:b/>
                <w:szCs w:val="20"/>
              </w:rPr>
              <w:t>220,159,918.83</w:t>
            </w:r>
          </w:p>
        </w:tc>
        <w:tc>
          <w:tcPr>
            <w:tcW w:w="1722" w:type="dxa"/>
            <w:tcBorders>
              <w:top w:val="single" w:sz="4" w:space="0" w:color="auto"/>
              <w:left w:val="nil"/>
              <w:right w:val="nil"/>
            </w:tcBorders>
          </w:tcPr>
          <w:p w:rsidR="00506561" w:rsidRPr="003D7BE6" w:rsidRDefault="00506561" w:rsidP="00567A7B">
            <w:pPr>
              <w:spacing w:after="0"/>
              <w:jc w:val="right"/>
              <w:rPr>
                <w:szCs w:val="20"/>
              </w:rPr>
            </w:pPr>
            <w:r>
              <w:rPr>
                <w:b/>
                <w:szCs w:val="20"/>
              </w:rPr>
              <w:t>$21,306,976.14</w:t>
            </w:r>
          </w:p>
        </w:tc>
      </w:tr>
    </w:tbl>
    <w:p w:rsidR="00B2129F" w:rsidRDefault="005240B9" w:rsidP="008911A8">
      <w:pPr>
        <w:pStyle w:val="Heading2"/>
      </w:pPr>
      <w:bookmarkStart w:id="7" w:name="_Toc379718203"/>
      <w:bookmarkStart w:id="8" w:name="_Toc379748685"/>
      <w:r w:rsidRPr="003D7BE6">
        <w:lastRenderedPageBreak/>
        <w:t>Authority</w:t>
      </w:r>
      <w:bookmarkEnd w:id="7"/>
      <w:bookmarkEnd w:id="8"/>
    </w:p>
    <w:p w:rsidR="00E73304" w:rsidRPr="00F634B4" w:rsidRDefault="00E73304" w:rsidP="00502188">
      <w:r w:rsidRPr="00F634B4">
        <w:t xml:space="preserve">The sections of the </w:t>
      </w:r>
      <w:r w:rsidR="004F3C14" w:rsidRPr="00F634B4">
        <w:t>A</w:t>
      </w:r>
      <w:r w:rsidR="00D63C44" w:rsidRPr="00F634B4">
        <w:t>ppropriation Acts</w:t>
      </w:r>
      <w:r w:rsidRPr="00F634B4">
        <w:t xml:space="preserve"> </w:t>
      </w:r>
      <w:r w:rsidR="0075595A" w:rsidRPr="00F634B4">
        <w:t xml:space="preserve">which </w:t>
      </w:r>
      <w:r w:rsidRPr="00F634B4">
        <w:t xml:space="preserve">specify the use of </w:t>
      </w:r>
      <w:r w:rsidR="00B51C39" w:rsidRPr="00F634B4">
        <w:t>A</w:t>
      </w:r>
      <w:r w:rsidR="007576F1" w:rsidRPr="00F634B4">
        <w:t xml:space="preserve">dvances </w:t>
      </w:r>
      <w:r w:rsidR="00F950DD" w:rsidRPr="00F634B4">
        <w:t>are specific to the relevant Act for the relevant</w:t>
      </w:r>
      <w:r w:rsidR="00472563" w:rsidRPr="00F634B4">
        <w:t xml:space="preserve"> year. In </w:t>
      </w:r>
      <w:r w:rsidR="00C22C3B">
        <w:t>2012-13</w:t>
      </w:r>
      <w:r w:rsidR="00472563" w:rsidRPr="00F634B4">
        <w:t xml:space="preserve"> the</w:t>
      </w:r>
      <w:r w:rsidR="006E07B8" w:rsidRPr="00F634B4">
        <w:t xml:space="preserve"> relevant section</w:t>
      </w:r>
      <w:r w:rsidR="006B3A30" w:rsidRPr="00F634B4">
        <w:t>s</w:t>
      </w:r>
      <w:r w:rsidR="0051384E">
        <w:t xml:space="preserve">, </w:t>
      </w:r>
      <w:r w:rsidR="008F2D34">
        <w:t>and the amounts available under them</w:t>
      </w:r>
      <w:r w:rsidR="0051384E">
        <w:t>,</w:t>
      </w:r>
      <w:r w:rsidR="006B3A30" w:rsidRPr="00F634B4">
        <w:t xml:space="preserve"> were</w:t>
      </w:r>
      <w:r w:rsidRPr="00F634B4">
        <w:t>:</w:t>
      </w:r>
    </w:p>
    <w:p w:rsidR="00E73304" w:rsidRPr="00F634B4" w:rsidRDefault="00E73304" w:rsidP="00D24E36">
      <w:pPr>
        <w:pStyle w:val="ListParagraph"/>
        <w:numPr>
          <w:ilvl w:val="0"/>
          <w:numId w:val="40"/>
        </w:numPr>
      </w:pPr>
      <w:r w:rsidRPr="00F634B4">
        <w:t>Section 1</w:t>
      </w:r>
      <w:r w:rsidR="00191713" w:rsidRPr="00F634B4">
        <w:t>3</w:t>
      </w:r>
      <w:r w:rsidRPr="00F634B4">
        <w:t xml:space="preserve"> of </w:t>
      </w:r>
      <w:r w:rsidRPr="00D24E36">
        <w:rPr>
          <w:i/>
        </w:rPr>
        <w:t>Appropriation Act (No.</w:t>
      </w:r>
      <w:r w:rsidR="005C6AFF" w:rsidRPr="00D24E36">
        <w:rPr>
          <w:i/>
        </w:rPr>
        <w:t> </w:t>
      </w:r>
      <w:r w:rsidRPr="00D24E36">
        <w:rPr>
          <w:i/>
        </w:rPr>
        <w:t xml:space="preserve">1) </w:t>
      </w:r>
      <w:r w:rsidR="00B2215B" w:rsidRPr="00D24E36">
        <w:rPr>
          <w:i/>
        </w:rPr>
        <w:t>20</w:t>
      </w:r>
      <w:r w:rsidR="00A75111" w:rsidRPr="00D24E36">
        <w:rPr>
          <w:i/>
        </w:rPr>
        <w:t>1</w:t>
      </w:r>
      <w:r w:rsidR="0082316A" w:rsidRPr="00D24E36">
        <w:rPr>
          <w:i/>
        </w:rPr>
        <w:t>2</w:t>
      </w:r>
      <w:r w:rsidR="00046EBE" w:rsidRPr="00D24E36">
        <w:rPr>
          <w:i/>
        </w:rPr>
        <w:noBreakHyphen/>
      </w:r>
      <w:r w:rsidR="00B2215B" w:rsidRPr="00D24E36">
        <w:rPr>
          <w:i/>
        </w:rPr>
        <w:t>20</w:t>
      </w:r>
      <w:r w:rsidR="00191713" w:rsidRPr="00D24E36">
        <w:rPr>
          <w:i/>
        </w:rPr>
        <w:t>1</w:t>
      </w:r>
      <w:r w:rsidR="0082316A" w:rsidRPr="00D24E36">
        <w:rPr>
          <w:i/>
        </w:rPr>
        <w:t>3</w:t>
      </w:r>
      <w:r w:rsidR="0051384E">
        <w:t>,</w:t>
      </w:r>
      <w:r w:rsidR="003538C3">
        <w:t xml:space="preserve"> </w:t>
      </w:r>
      <w:r w:rsidR="0051384E">
        <w:t xml:space="preserve">which allowed for </w:t>
      </w:r>
      <w:r w:rsidR="008F2D34">
        <w:t xml:space="preserve">$295 million, </w:t>
      </w:r>
      <w:r w:rsidR="0051384E">
        <w:t xml:space="preserve">with just over </w:t>
      </w:r>
      <w:r w:rsidR="008F2D34">
        <w:t>$</w:t>
      </w:r>
      <w:r w:rsidR="00506561" w:rsidRPr="00F634B4">
        <w:t>131</w:t>
      </w:r>
      <w:r w:rsidR="0051384E">
        <w:t xml:space="preserve"> million then being </w:t>
      </w:r>
      <w:r w:rsidR="008F2D34">
        <w:t xml:space="preserve">replenished at the commencement of </w:t>
      </w:r>
      <w:r w:rsidR="008F2D34" w:rsidRPr="00D24E36">
        <w:rPr>
          <w:i/>
        </w:rPr>
        <w:t>Appropriation Act (No. 3) 2012</w:t>
      </w:r>
      <w:r w:rsidR="008F2D34" w:rsidRPr="00D24E36">
        <w:rPr>
          <w:i/>
        </w:rPr>
        <w:noBreakHyphen/>
        <w:t>2013</w:t>
      </w:r>
      <w:r w:rsidR="006C5C4F">
        <w:t>: see below</w:t>
      </w:r>
      <w:r w:rsidR="0051384E">
        <w:t xml:space="preserve"> under the heading “Replenishment of the Advance in 2012-13: Additional Estimates”</w:t>
      </w:r>
      <w:r w:rsidR="008F2D34">
        <w:t>);</w:t>
      </w:r>
    </w:p>
    <w:p w:rsidR="00764831" w:rsidRPr="00F634B4" w:rsidRDefault="006B3A30" w:rsidP="00D24E36">
      <w:pPr>
        <w:pStyle w:val="ListParagraph"/>
        <w:numPr>
          <w:ilvl w:val="0"/>
          <w:numId w:val="40"/>
        </w:numPr>
      </w:pPr>
      <w:r w:rsidRPr="00F634B4">
        <w:t xml:space="preserve">Section 15 of </w:t>
      </w:r>
      <w:r w:rsidRPr="00506561">
        <w:rPr>
          <w:i/>
        </w:rPr>
        <w:t>Appropriation Act (No. 2) 20</w:t>
      </w:r>
      <w:r w:rsidR="0082316A" w:rsidRPr="00506561">
        <w:rPr>
          <w:i/>
        </w:rPr>
        <w:t>12</w:t>
      </w:r>
      <w:r w:rsidR="00046EBE" w:rsidRPr="00506561">
        <w:rPr>
          <w:i/>
        </w:rPr>
        <w:noBreakHyphen/>
      </w:r>
      <w:r w:rsidRPr="00506561">
        <w:rPr>
          <w:i/>
        </w:rPr>
        <w:t>201</w:t>
      </w:r>
      <w:r w:rsidR="0082316A" w:rsidRPr="00506561">
        <w:rPr>
          <w:i/>
        </w:rPr>
        <w:t>3</w:t>
      </w:r>
      <w:r w:rsidR="0051384E">
        <w:t>,</w:t>
      </w:r>
      <w:r w:rsidR="003538C3">
        <w:t xml:space="preserve"> </w:t>
      </w:r>
      <w:r w:rsidR="0051384E">
        <w:t>which allowed $380 million</w:t>
      </w:r>
      <w:r w:rsidR="00764831" w:rsidRPr="00F634B4">
        <w:t>; and</w:t>
      </w:r>
    </w:p>
    <w:p w:rsidR="008F2D34" w:rsidRDefault="00764831" w:rsidP="00D24E36">
      <w:pPr>
        <w:pStyle w:val="ListParagraph"/>
        <w:numPr>
          <w:ilvl w:val="0"/>
          <w:numId w:val="40"/>
        </w:numPr>
      </w:pPr>
      <w:r w:rsidRPr="008F2D34">
        <w:t xml:space="preserve">Section 13 of </w:t>
      </w:r>
      <w:r w:rsidRPr="00D24E36">
        <w:rPr>
          <w:i/>
        </w:rPr>
        <w:t>Appropriation (Parliamentary Departments) Act (No. 1) 2012-2013</w:t>
      </w:r>
      <w:r w:rsidR="0051384E">
        <w:t xml:space="preserve">, which allowed </w:t>
      </w:r>
      <w:r w:rsidR="008F2D34" w:rsidRPr="008F2D34">
        <w:t>$1</w:t>
      </w:r>
      <w:r w:rsidR="008F2D34">
        <w:t> </w:t>
      </w:r>
      <w:r w:rsidR="008F2D34" w:rsidRPr="008F2D34">
        <w:t xml:space="preserve">million for the Department of Parliamentary Services </w:t>
      </w:r>
      <w:r w:rsidR="008F2D34">
        <w:t xml:space="preserve">and </w:t>
      </w:r>
      <w:r w:rsidR="008F2D34" w:rsidRPr="008F2D34">
        <w:t xml:space="preserve">$300,000 </w:t>
      </w:r>
      <w:r w:rsidR="008F2D34">
        <w:t xml:space="preserve">each </w:t>
      </w:r>
      <w:r w:rsidR="008F2D34" w:rsidRPr="008F2D34">
        <w:t>for the Department</w:t>
      </w:r>
      <w:r w:rsidR="003538C3">
        <w:t>s</w:t>
      </w:r>
      <w:r w:rsidR="008F2D34" w:rsidRPr="008F2D34">
        <w:t xml:space="preserve"> of the Senate</w:t>
      </w:r>
      <w:r w:rsidR="008F2D34">
        <w:t xml:space="preserve"> and </w:t>
      </w:r>
      <w:r w:rsidR="008F2D34" w:rsidRPr="008F2D34">
        <w:t>the House of Representatives</w:t>
      </w:r>
      <w:r w:rsidR="00D5201D">
        <w:t>.</w:t>
      </w:r>
    </w:p>
    <w:p w:rsidR="005240B9" w:rsidRPr="003D7BE6" w:rsidRDefault="005240B9" w:rsidP="008911A8">
      <w:pPr>
        <w:pStyle w:val="Heading2"/>
      </w:pPr>
      <w:bookmarkStart w:id="9" w:name="_Toc379718204"/>
      <w:bookmarkStart w:id="10" w:name="_Toc379748686"/>
      <w:r w:rsidRPr="003D7BE6">
        <w:t xml:space="preserve">Eligibility </w:t>
      </w:r>
      <w:r w:rsidR="006F12E2" w:rsidRPr="003D7BE6">
        <w:t>requirements</w:t>
      </w:r>
      <w:bookmarkEnd w:id="9"/>
      <w:r w:rsidR="005D7D62">
        <w:t xml:space="preserve"> and transparency</w:t>
      </w:r>
      <w:bookmarkEnd w:id="10"/>
    </w:p>
    <w:p w:rsidR="003042D0" w:rsidRPr="00F634B4" w:rsidRDefault="00B52701" w:rsidP="003042D0">
      <w:r>
        <w:t xml:space="preserve">An </w:t>
      </w:r>
      <w:r w:rsidR="00B51C39" w:rsidRPr="00F634B4">
        <w:t>A</w:t>
      </w:r>
      <w:r w:rsidR="00010D37" w:rsidRPr="00F634B4">
        <w:t xml:space="preserve">dvance </w:t>
      </w:r>
      <w:r>
        <w:t xml:space="preserve">may only be issued </w:t>
      </w:r>
      <w:r w:rsidR="00010D37" w:rsidRPr="00F634B4">
        <w:t xml:space="preserve">if </w:t>
      </w:r>
      <w:r>
        <w:t xml:space="preserve">the Finance Minister (or the responsible Presiding Officer for a Parliamentary Department) is </w:t>
      </w:r>
      <w:r w:rsidR="00010D37" w:rsidRPr="00F634B4">
        <w:t>satisfied that</w:t>
      </w:r>
      <w:r w:rsidR="00E73304" w:rsidRPr="00F634B4">
        <w:t>:</w:t>
      </w:r>
      <w:r w:rsidR="003042D0" w:rsidRPr="003042D0">
        <w:t xml:space="preserve"> </w:t>
      </w:r>
    </w:p>
    <w:p w:rsidR="00E168BC" w:rsidRPr="00F634B4" w:rsidRDefault="00E73304" w:rsidP="003538C3">
      <w:pPr>
        <w:pStyle w:val="ListParagraph"/>
        <w:numPr>
          <w:ilvl w:val="0"/>
          <w:numId w:val="41"/>
        </w:numPr>
        <w:spacing w:after="0"/>
      </w:pPr>
      <w:r w:rsidRPr="00F634B4">
        <w:t>there is an urgent need for expenditure that is not, or is insufficiently</w:t>
      </w:r>
      <w:r w:rsidR="003042D0">
        <w:t>,</w:t>
      </w:r>
      <w:r w:rsidRPr="00F634B4">
        <w:t xml:space="preserve"> provided for in the </w:t>
      </w:r>
      <w:r w:rsidR="003042D0">
        <w:t xml:space="preserve">relevant Appropriation </w:t>
      </w:r>
      <w:r w:rsidRPr="00F634B4">
        <w:t>Act; and</w:t>
      </w:r>
    </w:p>
    <w:p w:rsidR="00E73304" w:rsidRPr="00F634B4" w:rsidRDefault="00E73304" w:rsidP="003538C3">
      <w:pPr>
        <w:pStyle w:val="ListParagraph"/>
        <w:numPr>
          <w:ilvl w:val="0"/>
          <w:numId w:val="41"/>
        </w:numPr>
        <w:spacing w:after="0"/>
      </w:pPr>
      <w:r w:rsidRPr="00F634B4">
        <w:t xml:space="preserve">the additional expenditure is </w:t>
      </w:r>
      <w:r w:rsidR="003042D0">
        <w:t>required due to</w:t>
      </w:r>
      <w:r w:rsidRPr="00F634B4">
        <w:t>:</w:t>
      </w:r>
    </w:p>
    <w:p w:rsidR="00E73304" w:rsidRPr="00F634B4" w:rsidRDefault="00E73304" w:rsidP="003538C3">
      <w:pPr>
        <w:numPr>
          <w:ilvl w:val="1"/>
          <w:numId w:val="2"/>
        </w:numPr>
        <w:tabs>
          <w:tab w:val="clear" w:pos="720"/>
          <w:tab w:val="num" w:pos="1077"/>
        </w:tabs>
        <w:spacing w:after="0"/>
        <w:ind w:left="1077" w:hanging="357"/>
      </w:pPr>
      <w:r w:rsidRPr="00F634B4">
        <w:t>an erroneous omission or understatement</w:t>
      </w:r>
      <w:r w:rsidR="003042D0">
        <w:t xml:space="preserve"> in that Act</w:t>
      </w:r>
      <w:r w:rsidRPr="00F634B4">
        <w:t>; or</w:t>
      </w:r>
    </w:p>
    <w:p w:rsidR="00E73304" w:rsidRPr="00F634B4" w:rsidRDefault="00E73304" w:rsidP="003538C3">
      <w:pPr>
        <w:numPr>
          <w:ilvl w:val="1"/>
          <w:numId w:val="2"/>
        </w:numPr>
        <w:tabs>
          <w:tab w:val="clear" w:pos="720"/>
          <w:tab w:val="num" w:pos="1077"/>
        </w:tabs>
        <w:ind w:left="1077" w:hanging="357"/>
      </w:pPr>
      <w:proofErr w:type="gramStart"/>
      <w:r w:rsidRPr="00F634B4">
        <w:t>the</w:t>
      </w:r>
      <w:proofErr w:type="gramEnd"/>
      <w:r w:rsidRPr="00F634B4">
        <w:t xml:space="preserve"> additional expenditure </w:t>
      </w:r>
      <w:r w:rsidR="003042D0">
        <w:t xml:space="preserve">was </w:t>
      </w:r>
      <w:r w:rsidRPr="00F634B4">
        <w:t xml:space="preserve">unforeseen until after the last day on which it was practicable to provide for it </w:t>
      </w:r>
      <w:r w:rsidR="003042D0">
        <w:t>in the relevant Bill (for that</w:t>
      </w:r>
      <w:r w:rsidRPr="00F634B4">
        <w:t xml:space="preserve"> A</w:t>
      </w:r>
      <w:r w:rsidR="003042D0">
        <w:t>ct, before th</w:t>
      </w:r>
      <w:r w:rsidRPr="00F634B4">
        <w:t xml:space="preserve">e </w:t>
      </w:r>
      <w:r w:rsidR="003042D0">
        <w:t xml:space="preserve">relevant </w:t>
      </w:r>
      <w:r w:rsidRPr="00F634B4">
        <w:t>Bill w</w:t>
      </w:r>
      <w:r w:rsidR="003042D0">
        <w:t>as</w:t>
      </w:r>
      <w:r w:rsidRPr="00F634B4">
        <w:t xml:space="preserve"> introduced into the House of Representatives</w:t>
      </w:r>
      <w:r w:rsidR="003042D0">
        <w:t>)</w:t>
      </w:r>
      <w:r w:rsidRPr="00F634B4">
        <w:t>.</w:t>
      </w:r>
    </w:p>
    <w:p w:rsidR="004B4757" w:rsidRDefault="007A5D1D" w:rsidP="004B4757">
      <w:r>
        <w:t xml:space="preserve">An Advance </w:t>
      </w:r>
      <w:r w:rsidR="00CC1A09" w:rsidRPr="00F634B4">
        <w:t>made by the Finance Minister</w:t>
      </w:r>
      <w:r w:rsidR="00764831" w:rsidRPr="00F634B4">
        <w:t>, or the responsible Presiding Officer</w:t>
      </w:r>
      <w:r w:rsidR="003A3EA3" w:rsidRPr="00F634B4">
        <w:t>,</w:t>
      </w:r>
      <w:r w:rsidR="00CC1A09" w:rsidRPr="00F634B4">
        <w:t xml:space="preserve"> has effect on the </w:t>
      </w:r>
      <w:r w:rsidR="004F3C14" w:rsidRPr="00F634B4">
        <w:t>A</w:t>
      </w:r>
      <w:r w:rsidR="00CC1A09" w:rsidRPr="00F634B4">
        <w:t xml:space="preserve">ppropriation Act concerned as if the </w:t>
      </w:r>
      <w:r w:rsidR="004F3C14" w:rsidRPr="00F634B4">
        <w:t>S</w:t>
      </w:r>
      <w:r w:rsidR="00CC1A09" w:rsidRPr="00F634B4">
        <w:t xml:space="preserve">chedule to the Act was amended in accordance with the </w:t>
      </w:r>
      <w:r w:rsidR="004F3C14" w:rsidRPr="00F634B4">
        <w:t>D</w:t>
      </w:r>
      <w:r w:rsidR="00CC1A09" w:rsidRPr="00F634B4">
        <w:t>etermination.</w:t>
      </w:r>
      <w:r w:rsidR="004B4757">
        <w:t xml:space="preserve"> Accordingly, these D</w:t>
      </w:r>
      <w:r w:rsidR="004B4757" w:rsidRPr="00F634B4">
        <w:t xml:space="preserve">eterminations are legislative instruments under the </w:t>
      </w:r>
      <w:r w:rsidR="004B4757" w:rsidRPr="00D24E36">
        <w:rPr>
          <w:i/>
        </w:rPr>
        <w:t>Legislative Instruments Act 2003</w:t>
      </w:r>
      <w:r w:rsidR="004B4757">
        <w:t xml:space="preserve">, </w:t>
      </w:r>
      <w:r w:rsidR="004B4757" w:rsidRPr="00F634B4">
        <w:t xml:space="preserve">registered on the Federal Register of Legislative Instruments and tabled in the </w:t>
      </w:r>
      <w:r w:rsidR="004B4757">
        <w:t xml:space="preserve">Parliament. </w:t>
      </w:r>
      <w:r w:rsidR="004B4757" w:rsidRPr="00F634B4">
        <w:t>The</w:t>
      </w:r>
      <w:r w:rsidR="004B4757">
        <w:t xml:space="preserve">y are each </w:t>
      </w:r>
      <w:r w:rsidR="004B4757" w:rsidRPr="00F634B4">
        <w:t xml:space="preserve">accessible at </w:t>
      </w:r>
      <w:hyperlink r:id="rId20" w:history="1">
        <w:r w:rsidR="004B4757" w:rsidRPr="00F634B4">
          <w:rPr>
            <w:rStyle w:val="Hyperlink"/>
            <w:lang w:eastAsia="en-AU"/>
          </w:rPr>
          <w:t>http://www.comlaw.gov.au</w:t>
        </w:r>
      </w:hyperlink>
      <w:r w:rsidR="004B4757" w:rsidRPr="00F634B4">
        <w:rPr>
          <w:lang w:eastAsia="en-AU"/>
        </w:rPr>
        <w:t xml:space="preserve"> under the heading “Legislative Instruments”</w:t>
      </w:r>
      <w:r w:rsidR="004B4757">
        <w:rPr>
          <w:lang w:eastAsia="en-AU"/>
        </w:rPr>
        <w:t xml:space="preserve">. </w:t>
      </w:r>
    </w:p>
    <w:p w:rsidR="00D934B7" w:rsidRPr="003D7BE6" w:rsidRDefault="00D934B7" w:rsidP="00D934B7">
      <w:pPr>
        <w:rPr>
          <w:sz w:val="22"/>
          <w:szCs w:val="22"/>
        </w:rPr>
      </w:pPr>
      <w:r w:rsidRPr="005D7D62">
        <w:t>Guidelines on Advances</w:t>
      </w:r>
      <w:r w:rsidR="00C950EA" w:rsidRPr="005D7D62">
        <w:t>, and a copy of this report,</w:t>
      </w:r>
      <w:r w:rsidRPr="005D7D62">
        <w:t xml:space="preserve"> </w:t>
      </w:r>
      <w:r w:rsidR="00C950EA" w:rsidRPr="005D7D62">
        <w:t xml:space="preserve">are </w:t>
      </w:r>
      <w:r w:rsidR="003042D0">
        <w:t xml:space="preserve">both </w:t>
      </w:r>
      <w:r w:rsidR="00C950EA" w:rsidRPr="005D7D62">
        <w:t>available through the web</w:t>
      </w:r>
      <w:r w:rsidRPr="005D7D62">
        <w:t xml:space="preserve">site </w:t>
      </w:r>
      <w:r w:rsidR="00C950EA" w:rsidRPr="005D7D62">
        <w:t xml:space="preserve">of the Department of Finance (Finance) </w:t>
      </w:r>
      <w:r w:rsidRPr="005D7D62">
        <w:t xml:space="preserve">at: </w:t>
      </w:r>
      <w:hyperlink r:id="rId21" w:history="1">
        <w:r w:rsidRPr="005D7D62">
          <w:rPr>
            <w:rStyle w:val="Hyperlink"/>
          </w:rPr>
          <w:t>http://www.finance.gov.au/budget/budget-process/advance-to-finance-minister.html</w:t>
        </w:r>
      </w:hyperlink>
      <w:r w:rsidR="00AC376F">
        <w:t>.</w:t>
      </w:r>
    </w:p>
    <w:p w:rsidR="001E2BD5" w:rsidRDefault="001E2BD5" w:rsidP="009D677F">
      <w:pPr>
        <w:pStyle w:val="Heading2"/>
        <w:keepNext w:val="0"/>
      </w:pPr>
      <w:bookmarkStart w:id="11" w:name="_Toc379748687"/>
      <w:bookmarkStart w:id="12" w:name="_Toc362879063"/>
      <w:bookmarkStart w:id="13" w:name="_Toc379718210"/>
      <w:r>
        <w:t>Replenishment of the Advance in 2012-13</w:t>
      </w:r>
      <w:bookmarkEnd w:id="11"/>
    </w:p>
    <w:p w:rsidR="001E2BD5" w:rsidRDefault="001E2BD5" w:rsidP="009D677F">
      <w:pPr>
        <w:spacing w:before="240"/>
      </w:pPr>
      <w:r>
        <w:t xml:space="preserve">When </w:t>
      </w:r>
      <w:r w:rsidRPr="00D0479D">
        <w:rPr>
          <w:i/>
        </w:rPr>
        <w:t>Appropriation Act (No. </w:t>
      </w:r>
      <w:r>
        <w:rPr>
          <w:i/>
        </w:rPr>
        <w:t>3</w:t>
      </w:r>
      <w:r w:rsidRPr="00D0479D">
        <w:rPr>
          <w:i/>
        </w:rPr>
        <w:t>) 2012</w:t>
      </w:r>
      <w:r w:rsidRPr="00D0479D">
        <w:rPr>
          <w:i/>
        </w:rPr>
        <w:noBreakHyphen/>
        <w:t>2013</w:t>
      </w:r>
      <w:r>
        <w:t xml:space="preserve"> commenced, </w:t>
      </w:r>
      <w:r w:rsidRPr="00F634B4">
        <w:t>on 28 March 2013</w:t>
      </w:r>
      <w:r>
        <w:t xml:space="preserve">, </w:t>
      </w:r>
      <w:r w:rsidR="00F92949">
        <w:t>A</w:t>
      </w:r>
      <w:r>
        <w:t xml:space="preserve">dvances provided to that point under </w:t>
      </w:r>
      <w:r w:rsidRPr="00D0479D">
        <w:rPr>
          <w:i/>
        </w:rPr>
        <w:t>Appropriation Act (No. 1) 2012</w:t>
      </w:r>
      <w:r w:rsidRPr="00D0479D">
        <w:rPr>
          <w:i/>
        </w:rPr>
        <w:noBreakHyphen/>
        <w:t>2013</w:t>
      </w:r>
      <w:r>
        <w:rPr>
          <w:i/>
        </w:rPr>
        <w:t xml:space="preserve"> </w:t>
      </w:r>
      <w:r>
        <w:t xml:space="preserve">totalled </w:t>
      </w:r>
      <w:r w:rsidRPr="00F634B4">
        <w:t>$131,117,394.97</w:t>
      </w:r>
      <w:r>
        <w:t xml:space="preserve">. </w:t>
      </w:r>
    </w:p>
    <w:p w:rsidR="00F92949" w:rsidRDefault="001E2BD5" w:rsidP="009D677F">
      <w:pPr>
        <w:keepLines/>
      </w:pPr>
      <w:r>
        <w:t>The AFM was replenished</w:t>
      </w:r>
      <w:r w:rsidR="004B4757">
        <w:t>,</w:t>
      </w:r>
      <w:r>
        <w:t xml:space="preserve"> </w:t>
      </w:r>
      <w:r w:rsidR="00A06297" w:rsidRPr="00F634B4">
        <w:t>on 28 March 2013</w:t>
      </w:r>
      <w:r w:rsidR="004B4757">
        <w:t>,</w:t>
      </w:r>
      <w:r w:rsidR="00A06297">
        <w:t xml:space="preserve"> </w:t>
      </w:r>
      <w:r>
        <w:t xml:space="preserve">back to $295 million. </w:t>
      </w:r>
    </w:p>
    <w:p w:rsidR="001E2BD5" w:rsidRDefault="001E2BD5" w:rsidP="009D677F">
      <w:pPr>
        <w:keepLines/>
      </w:pPr>
      <w:r>
        <w:t>Accordingly, the total amount that could have been issued by the</w:t>
      </w:r>
      <w:r w:rsidR="004B4757">
        <w:t xml:space="preserve"> then</w:t>
      </w:r>
      <w:r>
        <w:t xml:space="preserve"> Finance Minister </w:t>
      </w:r>
      <w:r w:rsidR="004B4757">
        <w:t xml:space="preserve">during </w:t>
      </w:r>
      <w:r>
        <w:t>2012-13 was $426,</w:t>
      </w:r>
      <w:r w:rsidRPr="00F634B4">
        <w:t>117,394.97</w:t>
      </w:r>
      <w:r>
        <w:t xml:space="preserve"> (comprising the initial $295 million plus $</w:t>
      </w:r>
      <w:r w:rsidRPr="00F634B4">
        <w:t>131,117,394.97</w:t>
      </w:r>
      <w:r>
        <w:t xml:space="preserve"> that again became available on 28 March 2013).</w:t>
      </w:r>
    </w:p>
    <w:p w:rsidR="00F17DD1" w:rsidRPr="003D7BE6" w:rsidRDefault="00F17DD1" w:rsidP="009E3910">
      <w:pPr>
        <w:pStyle w:val="Heading2"/>
        <w:keepLines/>
      </w:pPr>
      <w:bookmarkStart w:id="14" w:name="_Toc379718211"/>
      <w:bookmarkStart w:id="15" w:name="_Toc379748688"/>
      <w:bookmarkEnd w:id="12"/>
      <w:bookmarkEnd w:id="13"/>
      <w:r w:rsidRPr="003D7BE6">
        <w:lastRenderedPageBreak/>
        <w:t>Avoiding appropriation duplication</w:t>
      </w:r>
      <w:bookmarkEnd w:id="14"/>
      <w:bookmarkEnd w:id="15"/>
    </w:p>
    <w:p w:rsidR="00F92949" w:rsidRDefault="00F92949" w:rsidP="009E3910">
      <w:pPr>
        <w:keepNext/>
        <w:keepLines/>
      </w:pPr>
      <w:r w:rsidRPr="00F634B4">
        <w:rPr>
          <w:i/>
        </w:rPr>
        <w:t>Appropriation Act (No. 3) 2012</w:t>
      </w:r>
      <w:r w:rsidRPr="00F634B4">
        <w:rPr>
          <w:i/>
        </w:rPr>
        <w:noBreakHyphen/>
        <w:t>2013</w:t>
      </w:r>
      <w:r>
        <w:rPr>
          <w:i/>
        </w:rPr>
        <w:t xml:space="preserve"> </w:t>
      </w:r>
      <w:r w:rsidRPr="00F92949">
        <w:t>and</w:t>
      </w:r>
      <w:r>
        <w:rPr>
          <w:i/>
        </w:rPr>
        <w:t xml:space="preserve"> </w:t>
      </w:r>
      <w:r w:rsidRPr="00F634B4">
        <w:rPr>
          <w:i/>
        </w:rPr>
        <w:t>Appropriation Act (No. </w:t>
      </w:r>
      <w:r>
        <w:rPr>
          <w:i/>
        </w:rPr>
        <w:t>4</w:t>
      </w:r>
      <w:r w:rsidRPr="00F634B4">
        <w:rPr>
          <w:i/>
        </w:rPr>
        <w:t>) 2012</w:t>
      </w:r>
      <w:r w:rsidRPr="00F634B4">
        <w:rPr>
          <w:i/>
        </w:rPr>
        <w:noBreakHyphen/>
        <w:t>2013</w:t>
      </w:r>
      <w:r>
        <w:rPr>
          <w:i/>
        </w:rPr>
        <w:t xml:space="preserve"> </w:t>
      </w:r>
      <w:r>
        <w:t xml:space="preserve">comprised the </w:t>
      </w:r>
      <w:r w:rsidR="00C71C1C" w:rsidRPr="00F634B4">
        <w:t xml:space="preserve">Additional Estimates </w:t>
      </w:r>
      <w:r w:rsidR="005A101E" w:rsidRPr="00F634B4">
        <w:t>A</w:t>
      </w:r>
      <w:r w:rsidR="00C71C1C" w:rsidRPr="00F634B4">
        <w:t>ppropriation Acts</w:t>
      </w:r>
      <w:r w:rsidR="000B1D49" w:rsidRPr="00F634B4">
        <w:t xml:space="preserve"> </w:t>
      </w:r>
      <w:r>
        <w:t xml:space="preserve">in 2012-13.  </w:t>
      </w:r>
    </w:p>
    <w:p w:rsidR="00F17DD1" w:rsidRPr="00F634B4" w:rsidRDefault="00F92949" w:rsidP="009E3910">
      <w:pPr>
        <w:keepNext/>
        <w:keepLines/>
      </w:pPr>
      <w:r>
        <w:t xml:space="preserve">These Acts </w:t>
      </w:r>
      <w:r w:rsidR="00972AF4" w:rsidRPr="00F634B4">
        <w:t>contain</w:t>
      </w:r>
      <w:r w:rsidR="00A06297">
        <w:t>ed</w:t>
      </w:r>
      <w:r w:rsidR="00C71C1C" w:rsidRPr="00F634B4">
        <w:t xml:space="preserve"> </w:t>
      </w:r>
      <w:r w:rsidR="00972AF4" w:rsidRPr="00F634B4">
        <w:t xml:space="preserve">provisions </w:t>
      </w:r>
      <w:r>
        <w:t xml:space="preserve">that </w:t>
      </w:r>
      <w:r w:rsidR="00972AF4" w:rsidRPr="00F634B4">
        <w:t>prevent</w:t>
      </w:r>
      <w:r>
        <w:t>ed</w:t>
      </w:r>
      <w:r w:rsidR="00C71C1C" w:rsidRPr="00F634B4">
        <w:t xml:space="preserve"> </w:t>
      </w:r>
      <w:r w:rsidR="00F17DD1" w:rsidRPr="00F634B4">
        <w:t xml:space="preserve">the same expenditure being appropriated by </w:t>
      </w:r>
      <w:r>
        <w:t xml:space="preserve">them where appropriation </w:t>
      </w:r>
      <w:r w:rsidR="00A06297">
        <w:t xml:space="preserve">had </w:t>
      </w:r>
      <w:r w:rsidR="009E3910">
        <w:t>already</w:t>
      </w:r>
      <w:r w:rsidR="00A06297">
        <w:t xml:space="preserve"> been </w:t>
      </w:r>
      <w:r>
        <w:t xml:space="preserve">made available </w:t>
      </w:r>
      <w:r w:rsidR="00F17DD1" w:rsidRPr="00F634B4">
        <w:t xml:space="preserve">by an </w:t>
      </w:r>
      <w:r w:rsidR="007C309E" w:rsidRPr="00F634B4">
        <w:t>Advance</w:t>
      </w:r>
      <w:r w:rsidR="00C71C1C" w:rsidRPr="00F634B4">
        <w:t xml:space="preserve">. </w:t>
      </w:r>
      <w:r w:rsidR="009E3910">
        <w:t>This issue can particularly arise when urgent expenditure is required between the introduction of the Bills and their commencement as an Act.</w:t>
      </w:r>
    </w:p>
    <w:p w:rsidR="00ED08C0" w:rsidRDefault="00ED08C0" w:rsidP="00ED08C0">
      <w:r>
        <w:t xml:space="preserve">An </w:t>
      </w:r>
      <w:r w:rsidR="00F17DD1" w:rsidRPr="00F634B4">
        <w:t>example</w:t>
      </w:r>
      <w:r>
        <w:t xml:space="preserve"> appears in</w:t>
      </w:r>
      <w:r w:rsidR="00F17DD1" w:rsidRPr="00F634B4">
        <w:t xml:space="preserve"> s</w:t>
      </w:r>
      <w:r w:rsidR="00CF1627" w:rsidRPr="00F634B4">
        <w:t>ubsection</w:t>
      </w:r>
      <w:r w:rsidR="00D10EA4" w:rsidRPr="00F634B4">
        <w:t> </w:t>
      </w:r>
      <w:r w:rsidR="00CF1627" w:rsidRPr="00F634B4">
        <w:t xml:space="preserve">13(2) of </w:t>
      </w:r>
      <w:r w:rsidR="00972AF4" w:rsidRPr="00F634B4">
        <w:rPr>
          <w:i/>
        </w:rPr>
        <w:t>Appropriation Act (No. </w:t>
      </w:r>
      <w:r w:rsidR="00CF1627" w:rsidRPr="00F634B4">
        <w:rPr>
          <w:i/>
        </w:rPr>
        <w:t>3) 20</w:t>
      </w:r>
      <w:r w:rsidR="00A75111" w:rsidRPr="00F634B4">
        <w:rPr>
          <w:i/>
        </w:rPr>
        <w:t>1</w:t>
      </w:r>
      <w:r w:rsidR="005D7248" w:rsidRPr="00F634B4">
        <w:rPr>
          <w:i/>
        </w:rPr>
        <w:t>2</w:t>
      </w:r>
      <w:r w:rsidR="00046EBE" w:rsidRPr="00F634B4">
        <w:rPr>
          <w:i/>
        </w:rPr>
        <w:noBreakHyphen/>
      </w:r>
      <w:r w:rsidR="00CF1627" w:rsidRPr="00F634B4">
        <w:rPr>
          <w:i/>
        </w:rPr>
        <w:t>20</w:t>
      </w:r>
      <w:r w:rsidR="00A359EA" w:rsidRPr="00F634B4">
        <w:rPr>
          <w:i/>
        </w:rPr>
        <w:t>1</w:t>
      </w:r>
      <w:r w:rsidR="005D7248" w:rsidRPr="00F634B4">
        <w:rPr>
          <w:i/>
        </w:rPr>
        <w:t>3</w:t>
      </w:r>
      <w:r>
        <w:t xml:space="preserve">.  This provision </w:t>
      </w:r>
      <w:r w:rsidR="00CF1627" w:rsidRPr="00F634B4">
        <w:t>ensured</w:t>
      </w:r>
      <w:r w:rsidR="00C71C1C" w:rsidRPr="00F634B4">
        <w:t xml:space="preserve"> that if </w:t>
      </w:r>
      <w:r w:rsidR="005A101E" w:rsidRPr="00F634B4">
        <w:t>the</w:t>
      </w:r>
      <w:r w:rsidR="00C71C1C" w:rsidRPr="00F634B4">
        <w:t xml:space="preserve"> Act provided an amount</w:t>
      </w:r>
      <w:r>
        <w:t xml:space="preserve">, and </w:t>
      </w:r>
      <w:r w:rsidR="00C71C1C" w:rsidRPr="00F634B4">
        <w:t xml:space="preserve">the Finance Minister </w:t>
      </w:r>
      <w:r>
        <w:t xml:space="preserve">had </w:t>
      </w:r>
      <w:r w:rsidR="00C71C1C" w:rsidRPr="00F634B4">
        <w:t>determined an A</w:t>
      </w:r>
      <w:r w:rsidR="005A101E" w:rsidRPr="00F634B4">
        <w:t>dvance</w:t>
      </w:r>
      <w:r w:rsidR="00C71C1C" w:rsidRPr="00F634B4">
        <w:t xml:space="preserve"> for the same expenditure</w:t>
      </w:r>
      <w:r>
        <w:t xml:space="preserve"> by the time the Act commenced</w:t>
      </w:r>
      <w:r w:rsidR="00C71C1C" w:rsidRPr="00F634B4">
        <w:t>,</w:t>
      </w:r>
      <w:r>
        <w:t xml:space="preserve"> </w:t>
      </w:r>
      <w:r w:rsidR="00C71C1C" w:rsidRPr="00F634B4">
        <w:t xml:space="preserve">then the appropriation </w:t>
      </w:r>
      <w:r>
        <w:t xml:space="preserve">would be reduced </w:t>
      </w:r>
      <w:r w:rsidR="00C71C1C" w:rsidRPr="00F634B4">
        <w:t xml:space="preserve">by the </w:t>
      </w:r>
      <w:r w:rsidR="00CF1627" w:rsidRPr="00F634B4">
        <w:t>A</w:t>
      </w:r>
      <w:r w:rsidR="00A571DA" w:rsidRPr="00F634B4">
        <w:t>dvance</w:t>
      </w:r>
      <w:r w:rsidR="00C71C1C" w:rsidRPr="00F634B4">
        <w:t>.</w:t>
      </w:r>
    </w:p>
    <w:p w:rsidR="00EE2E2C" w:rsidRDefault="004874B7" w:rsidP="003D7BE6">
      <w:r w:rsidRPr="00F634B4">
        <w:t>Th</w:t>
      </w:r>
      <w:r w:rsidR="00ED08C0">
        <w:t xml:space="preserve">e provision took effect in relation to </w:t>
      </w:r>
      <w:r w:rsidR="00A82D4B" w:rsidRPr="00F634B4">
        <w:t>DEEWR</w:t>
      </w:r>
      <w:r w:rsidR="00ED08C0">
        <w:t xml:space="preserve"> </w:t>
      </w:r>
      <w:r w:rsidR="00A82D4B" w:rsidRPr="00F634B4">
        <w:t>for AFM No.</w:t>
      </w:r>
      <w:r w:rsidR="00F634B4">
        <w:t> </w:t>
      </w:r>
      <w:r w:rsidR="00A82D4B" w:rsidRPr="00F634B4">
        <w:t>1</w:t>
      </w:r>
      <w:r w:rsidR="00ED08C0">
        <w:t xml:space="preserve">, </w:t>
      </w:r>
      <w:r w:rsidR="00F17DD1" w:rsidRPr="00F634B4">
        <w:t>ensur</w:t>
      </w:r>
      <w:r w:rsidR="00ED08C0">
        <w:t>ing</w:t>
      </w:r>
      <w:r w:rsidR="00F17DD1" w:rsidRPr="00F634B4">
        <w:t xml:space="preserve"> that </w:t>
      </w:r>
      <w:r w:rsidR="00A82D4B" w:rsidRPr="00F634B4">
        <w:t xml:space="preserve">DEEWR </w:t>
      </w:r>
      <w:r w:rsidR="00F17DD1" w:rsidRPr="00F634B4">
        <w:t>was not over</w:t>
      </w:r>
      <w:r w:rsidR="006B647A">
        <w:t>-</w:t>
      </w:r>
      <w:r w:rsidR="00F17DD1" w:rsidRPr="00F634B4">
        <w:t>appropriated for the relevant expenditure</w:t>
      </w:r>
      <w:r w:rsidR="00ED08C0">
        <w:t>.</w:t>
      </w:r>
    </w:p>
    <w:p w:rsidR="001E2BD5" w:rsidRPr="003D7BE6" w:rsidRDefault="001E2BD5" w:rsidP="001E2BD5">
      <w:pPr>
        <w:pStyle w:val="Heading2"/>
      </w:pPr>
      <w:bookmarkStart w:id="16" w:name="_Toc379718209"/>
      <w:bookmarkStart w:id="17" w:name="_Toc379748689"/>
      <w:r w:rsidRPr="003D7BE6">
        <w:t>Improvements to the drafting of Advance determinations</w:t>
      </w:r>
      <w:bookmarkEnd w:id="16"/>
      <w:bookmarkEnd w:id="17"/>
    </w:p>
    <w:p w:rsidR="00A06297" w:rsidRDefault="00A06297" w:rsidP="001E2BD5">
      <w:r>
        <w:t>Certain</w:t>
      </w:r>
      <w:r w:rsidR="001E2BD5" w:rsidRPr="00F634B4">
        <w:t xml:space="preserve"> changes </w:t>
      </w:r>
      <w:r w:rsidR="001E2BD5">
        <w:t xml:space="preserve">were </w:t>
      </w:r>
      <w:r w:rsidR="001E2BD5" w:rsidRPr="00F634B4">
        <w:t xml:space="preserve">made to the structure of the determination </w:t>
      </w:r>
      <w:r w:rsidR="00324B9A">
        <w:t>and t</w:t>
      </w:r>
      <w:r w:rsidR="00324B9A" w:rsidRPr="00F634B4">
        <w:t xml:space="preserve">he explanatory statement </w:t>
      </w:r>
      <w:r w:rsidR="001E2BD5">
        <w:t>during 2012-</w:t>
      </w:r>
      <w:r w:rsidR="001E2BD5" w:rsidRPr="003042D0">
        <w:t>13</w:t>
      </w:r>
      <w:r w:rsidR="001E2BD5" w:rsidRPr="00F634B4">
        <w:t>.</w:t>
      </w:r>
    </w:p>
    <w:p w:rsidR="001E2BD5" w:rsidRPr="00F634B4" w:rsidRDefault="001E2BD5" w:rsidP="001E2BD5">
      <w:r>
        <w:t xml:space="preserve">For example, </w:t>
      </w:r>
      <w:r w:rsidR="00BF2AB6">
        <w:t xml:space="preserve">the determination </w:t>
      </w:r>
      <w:r w:rsidR="00324B9A">
        <w:t xml:space="preserve">for AFM No. 4 and </w:t>
      </w:r>
      <w:r w:rsidR="00324B9A" w:rsidRPr="00A06297">
        <w:t>No. 5</w:t>
      </w:r>
      <w:r w:rsidR="00324B9A">
        <w:t xml:space="preserve"> included a note </w:t>
      </w:r>
      <w:r w:rsidR="00BF2AB6">
        <w:t xml:space="preserve">that </w:t>
      </w:r>
      <w:r w:rsidR="00324B9A">
        <w:t xml:space="preserve">referred to </w:t>
      </w:r>
      <w:r>
        <w:t>t</w:t>
      </w:r>
      <w:r w:rsidRPr="00F634B4">
        <w:t xml:space="preserve">he explanatory statement </w:t>
      </w:r>
      <w:r w:rsidR="00324B9A">
        <w:t xml:space="preserve">which set </w:t>
      </w:r>
      <w:r>
        <w:t xml:space="preserve">out </w:t>
      </w:r>
      <w:r w:rsidRPr="00F634B4">
        <w:t xml:space="preserve">the text for </w:t>
      </w:r>
      <w:r w:rsidR="00BF2AB6">
        <w:t>administered o</w:t>
      </w:r>
      <w:r w:rsidRPr="00F634B4">
        <w:t>utcome</w:t>
      </w:r>
      <w:r w:rsidR="00324B9A">
        <w:t>s</w:t>
      </w:r>
      <w:r w:rsidRPr="00F634B4">
        <w:t xml:space="preserve"> </w:t>
      </w:r>
      <w:r>
        <w:t xml:space="preserve">affected by </w:t>
      </w:r>
      <w:r w:rsidRPr="00F634B4">
        <w:t>the determination</w:t>
      </w:r>
      <w:r w:rsidR="00324B9A">
        <w:t>s</w:t>
      </w:r>
      <w:r w:rsidR="00BF2AB6">
        <w:t>.</w:t>
      </w:r>
      <w:r w:rsidR="00324B9A">
        <w:t xml:space="preserve"> </w:t>
      </w:r>
      <w:r w:rsidR="00BF2AB6">
        <w:t>Also, t</w:t>
      </w:r>
      <w:r w:rsidR="00BF2AB6" w:rsidRPr="00F634B4">
        <w:t xml:space="preserve">he explanatory statement </w:t>
      </w:r>
      <w:r w:rsidR="00324B9A">
        <w:t>included information about consultation that had occurred in preparing the Advance and expected impact of the Advance</w:t>
      </w:r>
      <w:r w:rsidRPr="00F634B4">
        <w:t>.</w:t>
      </w:r>
    </w:p>
    <w:p w:rsidR="00ED08C0" w:rsidRPr="00F634B4" w:rsidRDefault="00ED08C0" w:rsidP="003D7BE6"/>
    <w:p w:rsidR="00EB593A" w:rsidRDefault="00BA4436" w:rsidP="004274E1">
      <w:pPr>
        <w:pStyle w:val="Heading1"/>
      </w:pPr>
      <w:bookmarkStart w:id="18" w:name="_Toc239580062"/>
      <w:bookmarkStart w:id="19" w:name="_Toc362879064"/>
      <w:bookmarkStart w:id="20" w:name="_Toc379718213"/>
      <w:bookmarkStart w:id="21" w:name="_Toc379748690"/>
      <w:bookmarkStart w:id="22" w:name="_Toc209510838"/>
      <w:r w:rsidRPr="003D7BE6">
        <w:lastRenderedPageBreak/>
        <w:t xml:space="preserve">Advances made </w:t>
      </w:r>
      <w:r w:rsidR="004274E1">
        <w:t>in</w:t>
      </w:r>
      <w:r w:rsidR="0040392B" w:rsidRPr="003D7BE6">
        <w:t xml:space="preserve"> </w:t>
      </w:r>
      <w:bookmarkEnd w:id="18"/>
      <w:r w:rsidR="00C22C3B">
        <w:t>2012-13</w:t>
      </w:r>
      <w:bookmarkEnd w:id="19"/>
      <w:bookmarkEnd w:id="20"/>
      <w:bookmarkEnd w:id="21"/>
    </w:p>
    <w:p w:rsidR="00C9348B" w:rsidRPr="00690BE1" w:rsidRDefault="00690BE1" w:rsidP="00ED08C0">
      <w:pPr>
        <w:pStyle w:val="Heading2"/>
        <w:ind w:left="2268" w:hanging="2268"/>
      </w:pPr>
      <w:bookmarkStart w:id="23" w:name="_Toc379748691"/>
      <w:proofErr w:type="gramStart"/>
      <w:r>
        <w:t xml:space="preserve">AFM </w:t>
      </w:r>
      <w:r w:rsidR="004274E1" w:rsidRPr="00690BE1">
        <w:t>No.</w:t>
      </w:r>
      <w:proofErr w:type="gramEnd"/>
      <w:r w:rsidR="004274E1" w:rsidRPr="00690BE1">
        <w:t xml:space="preserve"> 1:</w:t>
      </w:r>
      <w:r w:rsidR="008911A8">
        <w:tab/>
      </w:r>
      <w:r w:rsidR="00A82D4B">
        <w:t>DEEWR</w:t>
      </w:r>
      <w:r w:rsidR="008C1F3B">
        <w:t>: Outcome 4</w:t>
      </w:r>
      <w:bookmarkEnd w:id="23"/>
    </w:p>
    <w:tbl>
      <w:tblPr>
        <w:tblW w:w="9464" w:type="dxa"/>
        <w:tblLayout w:type="fixed"/>
        <w:tblLook w:val="04A0"/>
      </w:tblPr>
      <w:tblGrid>
        <w:gridCol w:w="2405"/>
        <w:gridCol w:w="1769"/>
        <w:gridCol w:w="1746"/>
        <w:gridCol w:w="1701"/>
        <w:gridCol w:w="1843"/>
      </w:tblGrid>
      <w:tr w:rsidR="007B1CF8" w:rsidRPr="003D7BE6" w:rsidTr="004B4757">
        <w:trPr>
          <w:trHeight w:val="439"/>
        </w:trPr>
        <w:tc>
          <w:tcPr>
            <w:tcW w:w="2405" w:type="dxa"/>
          </w:tcPr>
          <w:bookmarkEnd w:id="22"/>
          <w:p w:rsidR="007B1CF8" w:rsidRPr="003D7BE6" w:rsidRDefault="008C1F3B" w:rsidP="008C1F3B">
            <w:pPr>
              <w:pStyle w:val="TableText"/>
              <w:rPr>
                <w:b/>
                <w:snapToGrid w:val="0"/>
              </w:rPr>
            </w:pPr>
            <w:r>
              <w:rPr>
                <w:b/>
                <w:snapToGrid w:val="0"/>
              </w:rPr>
              <w:t>Legislative Instrument</w:t>
            </w:r>
          </w:p>
        </w:tc>
        <w:tc>
          <w:tcPr>
            <w:tcW w:w="7059" w:type="dxa"/>
            <w:gridSpan w:val="4"/>
          </w:tcPr>
          <w:p w:rsidR="007B1CF8" w:rsidRPr="003D7BE6" w:rsidRDefault="005822E9" w:rsidP="003D7BE6">
            <w:pPr>
              <w:pStyle w:val="TableText"/>
              <w:rPr>
                <w:highlight w:val="yellow"/>
              </w:rPr>
            </w:pPr>
            <w:r w:rsidRPr="003D7BE6">
              <w:t xml:space="preserve">F2013L00553, Advance to the Finance Minister – Section 13 of </w:t>
            </w:r>
            <w:r w:rsidRPr="003D7BE6">
              <w:rPr>
                <w:i/>
              </w:rPr>
              <w:t>Appropriation Act (No. 1) 2012-2013</w:t>
            </w:r>
          </w:p>
        </w:tc>
      </w:tr>
      <w:tr w:rsidR="007B1CF8" w:rsidRPr="003D7BE6" w:rsidTr="004B4757">
        <w:trPr>
          <w:trHeight w:val="439"/>
        </w:trPr>
        <w:tc>
          <w:tcPr>
            <w:tcW w:w="2405" w:type="dxa"/>
          </w:tcPr>
          <w:p w:rsidR="007B1CF8" w:rsidRPr="003D7BE6" w:rsidRDefault="008C1F3B" w:rsidP="008C1F3B">
            <w:pPr>
              <w:pStyle w:val="TableText"/>
              <w:rPr>
                <w:b/>
                <w:snapToGrid w:val="0"/>
              </w:rPr>
            </w:pPr>
            <w:r>
              <w:rPr>
                <w:b/>
                <w:snapToGrid w:val="0"/>
              </w:rPr>
              <w:t>Sequence</w:t>
            </w:r>
          </w:p>
        </w:tc>
        <w:tc>
          <w:tcPr>
            <w:tcW w:w="7059" w:type="dxa"/>
            <w:gridSpan w:val="4"/>
          </w:tcPr>
          <w:p w:rsidR="007B1CF8" w:rsidRPr="003D7BE6" w:rsidRDefault="005822E9" w:rsidP="003D7BE6">
            <w:pPr>
              <w:pStyle w:val="TableText"/>
            </w:pPr>
            <w:r w:rsidRPr="003D7BE6">
              <w:t xml:space="preserve">No. </w:t>
            </w:r>
            <w:r w:rsidR="00AA7E7F" w:rsidRPr="003D7BE6">
              <w:t>1</w:t>
            </w:r>
            <w:r w:rsidR="007B1CF8" w:rsidRPr="003D7BE6">
              <w:t xml:space="preserve"> of </w:t>
            </w:r>
            <w:r w:rsidR="00C22C3B">
              <w:t>2012-13</w:t>
            </w:r>
            <w:r w:rsidR="005C0CA9">
              <w:t xml:space="preserve">, </w:t>
            </w:r>
            <w:r w:rsidR="005C0CA9" w:rsidRPr="003D7BE6">
              <w:t>8 March 2013</w:t>
            </w:r>
          </w:p>
        </w:tc>
      </w:tr>
      <w:tr w:rsidR="007B1CF8" w:rsidRPr="003D7BE6" w:rsidTr="004B4757">
        <w:trPr>
          <w:trHeight w:val="439"/>
        </w:trPr>
        <w:tc>
          <w:tcPr>
            <w:tcW w:w="2405" w:type="dxa"/>
          </w:tcPr>
          <w:p w:rsidR="007B1CF8" w:rsidRPr="003D7BE6" w:rsidRDefault="007B1CF8" w:rsidP="003D7BE6">
            <w:pPr>
              <w:pStyle w:val="TableText"/>
              <w:rPr>
                <w:b/>
              </w:rPr>
            </w:pPr>
            <w:r w:rsidRPr="003D7BE6">
              <w:rPr>
                <w:b/>
                <w:snapToGrid w:val="0"/>
              </w:rPr>
              <w:t>Portfolio</w:t>
            </w:r>
          </w:p>
        </w:tc>
        <w:tc>
          <w:tcPr>
            <w:tcW w:w="7059" w:type="dxa"/>
            <w:gridSpan w:val="4"/>
          </w:tcPr>
          <w:p w:rsidR="007B1CF8" w:rsidRPr="003D7BE6" w:rsidRDefault="00C62860" w:rsidP="003D7BE6">
            <w:pPr>
              <w:pStyle w:val="TableText"/>
            </w:pPr>
            <w:r w:rsidRPr="003D7BE6">
              <w:t>Education, Employment and Workplace Relations</w:t>
            </w:r>
          </w:p>
        </w:tc>
      </w:tr>
      <w:tr w:rsidR="00073B71" w:rsidRPr="003D7BE6" w:rsidTr="004B4757">
        <w:trPr>
          <w:trHeight w:val="439"/>
        </w:trPr>
        <w:tc>
          <w:tcPr>
            <w:tcW w:w="2405" w:type="dxa"/>
          </w:tcPr>
          <w:p w:rsidR="00073B71" w:rsidRPr="003D7BE6" w:rsidRDefault="00073B71" w:rsidP="003D7BE6">
            <w:pPr>
              <w:pStyle w:val="TableText"/>
              <w:rPr>
                <w:b/>
              </w:rPr>
            </w:pPr>
            <w:r w:rsidRPr="003D7BE6">
              <w:rPr>
                <w:b/>
                <w:snapToGrid w:val="0"/>
              </w:rPr>
              <w:t>Agency</w:t>
            </w:r>
          </w:p>
        </w:tc>
        <w:tc>
          <w:tcPr>
            <w:tcW w:w="7059" w:type="dxa"/>
            <w:gridSpan w:val="4"/>
          </w:tcPr>
          <w:p w:rsidR="00073B71" w:rsidRPr="003D7BE6" w:rsidRDefault="00C62860" w:rsidP="003D7BE6">
            <w:pPr>
              <w:pStyle w:val="TableText"/>
            </w:pPr>
            <w:r w:rsidRPr="003D7BE6">
              <w:t>Department of Education, Employment and Workplace Relations</w:t>
            </w:r>
            <w:r w:rsidR="00A82D4B">
              <w:t xml:space="preserve"> (DEEWR)</w:t>
            </w:r>
          </w:p>
        </w:tc>
      </w:tr>
      <w:tr w:rsidR="00073B71" w:rsidRPr="003D7BE6" w:rsidTr="004B4757">
        <w:trPr>
          <w:trHeight w:val="439"/>
        </w:trPr>
        <w:tc>
          <w:tcPr>
            <w:tcW w:w="2405" w:type="dxa"/>
          </w:tcPr>
          <w:p w:rsidR="00073B71" w:rsidRPr="003D7BE6" w:rsidRDefault="00073B71" w:rsidP="003D7BE6">
            <w:pPr>
              <w:pStyle w:val="TableText"/>
              <w:rPr>
                <w:b/>
              </w:rPr>
            </w:pPr>
            <w:r w:rsidRPr="003D7BE6">
              <w:rPr>
                <w:b/>
              </w:rPr>
              <w:t>Appropriation Item</w:t>
            </w:r>
          </w:p>
        </w:tc>
        <w:tc>
          <w:tcPr>
            <w:tcW w:w="7059" w:type="dxa"/>
            <w:gridSpan w:val="4"/>
          </w:tcPr>
          <w:p w:rsidR="00073B71" w:rsidRPr="003D7BE6" w:rsidRDefault="00C62860" w:rsidP="003D7BE6">
            <w:pPr>
              <w:pStyle w:val="TableText"/>
            </w:pPr>
            <w:r w:rsidRPr="003D7BE6">
              <w:t xml:space="preserve">Administered Item, Outcome </w:t>
            </w:r>
            <w:r w:rsidR="005822E9" w:rsidRPr="003D7BE6">
              <w:t>4</w:t>
            </w:r>
          </w:p>
        </w:tc>
      </w:tr>
      <w:tr w:rsidR="00073B71" w:rsidRPr="003D7BE6" w:rsidTr="004B4757">
        <w:trPr>
          <w:trHeight w:val="439"/>
        </w:trPr>
        <w:tc>
          <w:tcPr>
            <w:tcW w:w="2405" w:type="dxa"/>
          </w:tcPr>
          <w:p w:rsidR="00073B71" w:rsidRPr="003D7BE6" w:rsidRDefault="00073B71" w:rsidP="003D7BE6">
            <w:pPr>
              <w:pStyle w:val="TableText"/>
              <w:rPr>
                <w:b/>
              </w:rPr>
            </w:pPr>
            <w:r w:rsidRPr="003D7BE6">
              <w:rPr>
                <w:b/>
              </w:rPr>
              <w:t>Outcome</w:t>
            </w:r>
            <w:r w:rsidR="00DA00F1">
              <w:rPr>
                <w:b/>
              </w:rPr>
              <w:t xml:space="preserve"> text</w:t>
            </w:r>
          </w:p>
        </w:tc>
        <w:tc>
          <w:tcPr>
            <w:tcW w:w="7059" w:type="dxa"/>
            <w:gridSpan w:val="4"/>
          </w:tcPr>
          <w:p w:rsidR="00073B71" w:rsidRPr="003D7BE6" w:rsidRDefault="00C62860" w:rsidP="003D7BE6">
            <w:pPr>
              <w:pStyle w:val="TableText"/>
              <w:rPr>
                <w:szCs w:val="20"/>
              </w:rPr>
            </w:pPr>
            <w:r w:rsidRPr="003D7BE6">
              <w:t>Safer, fairer and more productive workplaces for employers and employees by promoting and supporting the adoption of fair and flexible workplace arrangements and safer working arrangements</w:t>
            </w:r>
          </w:p>
        </w:tc>
      </w:tr>
      <w:tr w:rsidR="00073B71" w:rsidRPr="003D7BE6" w:rsidTr="004B4757">
        <w:trPr>
          <w:trHeight w:val="439"/>
        </w:trPr>
        <w:tc>
          <w:tcPr>
            <w:tcW w:w="2405" w:type="dxa"/>
          </w:tcPr>
          <w:p w:rsidR="00073B71" w:rsidRPr="003D7BE6" w:rsidRDefault="00073B71" w:rsidP="003D7BE6">
            <w:pPr>
              <w:pStyle w:val="TableText"/>
              <w:rPr>
                <w:b/>
              </w:rPr>
            </w:pPr>
            <w:r w:rsidRPr="003D7BE6">
              <w:rPr>
                <w:b/>
              </w:rPr>
              <w:t>Program</w:t>
            </w:r>
          </w:p>
        </w:tc>
        <w:tc>
          <w:tcPr>
            <w:tcW w:w="7059" w:type="dxa"/>
            <w:gridSpan w:val="4"/>
          </w:tcPr>
          <w:p w:rsidR="00073B71" w:rsidRPr="003D7BE6" w:rsidRDefault="00C62860" w:rsidP="003D7BE6">
            <w:pPr>
              <w:pStyle w:val="TableText"/>
            </w:pPr>
            <w:r w:rsidRPr="003D7BE6">
              <w:t>Employee Assistance</w:t>
            </w:r>
          </w:p>
        </w:tc>
      </w:tr>
      <w:tr w:rsidR="004B4757" w:rsidRPr="003D7BE6" w:rsidTr="00DC0948">
        <w:tc>
          <w:tcPr>
            <w:tcW w:w="2405" w:type="dxa"/>
          </w:tcPr>
          <w:p w:rsidR="004B4757" w:rsidRPr="003D7BE6" w:rsidRDefault="004B4757" w:rsidP="005C0CA9">
            <w:pPr>
              <w:pStyle w:val="TableText"/>
              <w:rPr>
                <w:u w:val="single"/>
              </w:rPr>
            </w:pPr>
          </w:p>
        </w:tc>
        <w:tc>
          <w:tcPr>
            <w:tcW w:w="1769" w:type="dxa"/>
          </w:tcPr>
          <w:p w:rsidR="004B4757" w:rsidRPr="003D7BE6" w:rsidRDefault="004B4757" w:rsidP="003D7BE6">
            <w:pPr>
              <w:pStyle w:val="TableText"/>
              <w:rPr>
                <w:u w:val="single"/>
              </w:rPr>
            </w:pPr>
            <w:r w:rsidRPr="003D7BE6">
              <w:rPr>
                <w:u w:val="single"/>
              </w:rPr>
              <w:t>Legislative Requirement</w:t>
            </w:r>
          </w:p>
        </w:tc>
        <w:tc>
          <w:tcPr>
            <w:tcW w:w="1746" w:type="dxa"/>
          </w:tcPr>
          <w:p w:rsidR="004B4757" w:rsidRPr="003D7BE6" w:rsidRDefault="004B4757" w:rsidP="003D7BE6">
            <w:pPr>
              <w:pStyle w:val="TableText"/>
              <w:rPr>
                <w:u w:val="single"/>
              </w:rPr>
            </w:pPr>
            <w:r w:rsidRPr="003D7BE6">
              <w:rPr>
                <w:u w:val="single"/>
              </w:rPr>
              <w:t>Amount Issued</w:t>
            </w:r>
          </w:p>
        </w:tc>
        <w:tc>
          <w:tcPr>
            <w:tcW w:w="1701" w:type="dxa"/>
          </w:tcPr>
          <w:p w:rsidR="004B4757" w:rsidRPr="003D7BE6" w:rsidRDefault="004B4757" w:rsidP="003D7BE6">
            <w:pPr>
              <w:pStyle w:val="TableText"/>
              <w:rPr>
                <w:u w:val="single"/>
              </w:rPr>
            </w:pPr>
            <w:r w:rsidRPr="003D7BE6">
              <w:rPr>
                <w:u w:val="single"/>
              </w:rPr>
              <w:t>Expenditure</w:t>
            </w:r>
          </w:p>
        </w:tc>
        <w:tc>
          <w:tcPr>
            <w:tcW w:w="1843" w:type="dxa"/>
          </w:tcPr>
          <w:p w:rsidR="004B4757" w:rsidRPr="003D7BE6" w:rsidRDefault="004B4757" w:rsidP="003D7BE6">
            <w:pPr>
              <w:pStyle w:val="TableText"/>
              <w:rPr>
                <w:u w:val="single"/>
              </w:rPr>
            </w:pPr>
            <w:r>
              <w:rPr>
                <w:u w:val="single"/>
              </w:rPr>
              <w:t>Underspend</w:t>
            </w:r>
          </w:p>
        </w:tc>
      </w:tr>
      <w:tr w:rsidR="004B4757" w:rsidRPr="003D7BE6" w:rsidTr="00DC0948">
        <w:tc>
          <w:tcPr>
            <w:tcW w:w="2405" w:type="dxa"/>
          </w:tcPr>
          <w:p w:rsidR="004B4757" w:rsidRPr="003D7BE6" w:rsidRDefault="004B4757" w:rsidP="003D7BE6">
            <w:pPr>
              <w:pStyle w:val="TableText"/>
            </w:pPr>
          </w:p>
        </w:tc>
        <w:tc>
          <w:tcPr>
            <w:tcW w:w="1769" w:type="dxa"/>
          </w:tcPr>
          <w:p w:rsidR="004B4757" w:rsidRPr="003D7BE6" w:rsidRDefault="004B4757" w:rsidP="003D7BE6">
            <w:pPr>
              <w:pStyle w:val="TableText"/>
            </w:pPr>
            <w:r w:rsidRPr="003D7BE6">
              <w:t>Unforeseen</w:t>
            </w:r>
          </w:p>
        </w:tc>
        <w:tc>
          <w:tcPr>
            <w:tcW w:w="1746" w:type="dxa"/>
          </w:tcPr>
          <w:p w:rsidR="004B4757" w:rsidRPr="003D7BE6" w:rsidRDefault="004B4757" w:rsidP="003D7BE6">
            <w:pPr>
              <w:pStyle w:val="TableText"/>
            </w:pPr>
            <w:r w:rsidRPr="003D7BE6">
              <w:t>$24,117,394.97</w:t>
            </w:r>
          </w:p>
        </w:tc>
        <w:tc>
          <w:tcPr>
            <w:tcW w:w="1701" w:type="dxa"/>
          </w:tcPr>
          <w:p w:rsidR="004B4757" w:rsidRPr="003D7BE6" w:rsidRDefault="004B4757" w:rsidP="003D7BE6">
            <w:pPr>
              <w:pStyle w:val="TableText"/>
            </w:pPr>
            <w:r w:rsidRPr="003D7BE6">
              <w:t>$3,470,170.86</w:t>
            </w:r>
          </w:p>
        </w:tc>
        <w:tc>
          <w:tcPr>
            <w:tcW w:w="1843" w:type="dxa"/>
          </w:tcPr>
          <w:p w:rsidR="004B4757" w:rsidRPr="003D7BE6" w:rsidRDefault="00DC0948" w:rsidP="003D7BE6">
            <w:pPr>
              <w:pStyle w:val="TableText"/>
            </w:pPr>
            <w:r>
              <w:t>$20,647,224.11</w:t>
            </w:r>
          </w:p>
        </w:tc>
      </w:tr>
    </w:tbl>
    <w:p w:rsidR="00690BE1" w:rsidRDefault="00690BE1" w:rsidP="00690BE1"/>
    <w:p w:rsidR="00C76DBC" w:rsidRPr="00690BE1" w:rsidRDefault="00C76DBC" w:rsidP="00690BE1">
      <w:pPr>
        <w:pStyle w:val="Heading3"/>
      </w:pPr>
      <w:bookmarkStart w:id="24" w:name="_Toc379748692"/>
      <w:r w:rsidRPr="00690BE1">
        <w:t>Explanation of Requirement</w:t>
      </w:r>
      <w:bookmarkEnd w:id="24"/>
    </w:p>
    <w:p w:rsidR="007913A4" w:rsidRPr="003D7BE6" w:rsidRDefault="007913A4" w:rsidP="003D7BE6">
      <w:r w:rsidRPr="003D7BE6">
        <w:t xml:space="preserve">The General Employee Entitlements and Redundancy Scheme (GEERS) is a safety net scheme to assist employees who have lost their employment due to the liquidation or bankruptcy of their employer and who are owed </w:t>
      </w:r>
      <w:r w:rsidR="00926C1C" w:rsidRPr="003D7BE6">
        <w:t xml:space="preserve">certain employee entitlements. </w:t>
      </w:r>
    </w:p>
    <w:p w:rsidR="00463BFD" w:rsidRPr="003D7BE6" w:rsidRDefault="00E02FAB" w:rsidP="003D7BE6">
      <w:pPr>
        <w:rPr>
          <w:szCs w:val="20"/>
        </w:rPr>
      </w:pPr>
      <w:r>
        <w:rPr>
          <w:color w:val="000000" w:themeColor="text1"/>
        </w:rPr>
        <w:t xml:space="preserve">During </w:t>
      </w:r>
      <w:r>
        <w:t>2012-13</w:t>
      </w:r>
      <w:r w:rsidR="007A5D1D">
        <w:t>,</w:t>
      </w:r>
      <w:r w:rsidRPr="003D7BE6">
        <w:t xml:space="preserve"> GEERS estimates were increased by $45.424 million</w:t>
      </w:r>
      <w:r>
        <w:t xml:space="preserve"> and that </w:t>
      </w:r>
      <w:r w:rsidRPr="003D7BE6">
        <w:t xml:space="preserve">increase was included in </w:t>
      </w:r>
      <w:r w:rsidRPr="003D7BE6">
        <w:rPr>
          <w:i/>
        </w:rPr>
        <w:t>Appropriation Bill (No. 3) 2012-2013</w:t>
      </w:r>
      <w:r>
        <w:t>. However, a</w:t>
      </w:r>
      <w:r>
        <w:rPr>
          <w:szCs w:val="20"/>
        </w:rPr>
        <w:t xml:space="preserve">nalysis </w:t>
      </w:r>
      <w:r w:rsidR="004E043A" w:rsidRPr="003D7BE6">
        <w:rPr>
          <w:szCs w:val="20"/>
        </w:rPr>
        <w:t xml:space="preserve">showed </w:t>
      </w:r>
      <w:r>
        <w:rPr>
          <w:szCs w:val="20"/>
        </w:rPr>
        <w:t>that t</w:t>
      </w:r>
      <w:r w:rsidR="0092675F" w:rsidRPr="003D7BE6">
        <w:rPr>
          <w:szCs w:val="20"/>
        </w:rPr>
        <w:t xml:space="preserve">he </w:t>
      </w:r>
      <w:r w:rsidR="005822E9" w:rsidRPr="003D7BE6">
        <w:rPr>
          <w:szCs w:val="20"/>
        </w:rPr>
        <w:t xml:space="preserve">GEERS appropriation of $202.975 million </w:t>
      </w:r>
      <w:r>
        <w:rPr>
          <w:szCs w:val="20"/>
        </w:rPr>
        <w:t xml:space="preserve">would become </w:t>
      </w:r>
      <w:r w:rsidR="007E7ABE" w:rsidRPr="003D7BE6">
        <w:rPr>
          <w:szCs w:val="20"/>
        </w:rPr>
        <w:t xml:space="preserve">exhausted </w:t>
      </w:r>
      <w:r>
        <w:rPr>
          <w:szCs w:val="20"/>
        </w:rPr>
        <w:t>before that Bill commenced.  B</w:t>
      </w:r>
      <w:r w:rsidR="007E7ABE" w:rsidRPr="003D7BE6">
        <w:rPr>
          <w:szCs w:val="20"/>
        </w:rPr>
        <w:t>y mid</w:t>
      </w:r>
      <w:r>
        <w:rPr>
          <w:szCs w:val="20"/>
        </w:rPr>
        <w:noBreakHyphen/>
      </w:r>
      <w:proofErr w:type="spellStart"/>
      <w:r w:rsidR="007E7ABE" w:rsidRPr="003D7BE6">
        <w:rPr>
          <w:szCs w:val="20"/>
        </w:rPr>
        <w:t>March</w:t>
      </w:r>
      <w:proofErr w:type="spellEnd"/>
      <w:r>
        <w:rPr>
          <w:szCs w:val="20"/>
        </w:rPr>
        <w:t> </w:t>
      </w:r>
      <w:r w:rsidR="007E7ABE" w:rsidRPr="003D7BE6">
        <w:rPr>
          <w:szCs w:val="20"/>
        </w:rPr>
        <w:t>2013</w:t>
      </w:r>
      <w:r>
        <w:rPr>
          <w:szCs w:val="20"/>
        </w:rPr>
        <w:t xml:space="preserve">, </w:t>
      </w:r>
      <w:r w:rsidR="005822E9" w:rsidRPr="003D7BE6">
        <w:rPr>
          <w:szCs w:val="20"/>
        </w:rPr>
        <w:t xml:space="preserve">an additional $24.117 million </w:t>
      </w:r>
      <w:r>
        <w:rPr>
          <w:szCs w:val="20"/>
        </w:rPr>
        <w:t xml:space="preserve">was expected to be needed </w:t>
      </w:r>
      <w:r w:rsidR="005822E9" w:rsidRPr="003D7BE6">
        <w:rPr>
          <w:szCs w:val="20"/>
        </w:rPr>
        <w:t xml:space="preserve">to meet </w:t>
      </w:r>
      <w:r w:rsidR="007A5D1D">
        <w:rPr>
          <w:szCs w:val="20"/>
        </w:rPr>
        <w:t xml:space="preserve">the </w:t>
      </w:r>
      <w:r w:rsidR="007A5D1D" w:rsidRPr="003D7BE6">
        <w:rPr>
          <w:szCs w:val="20"/>
        </w:rPr>
        <w:t xml:space="preserve">commitments </w:t>
      </w:r>
      <w:r w:rsidR="007A5D1D">
        <w:rPr>
          <w:szCs w:val="20"/>
        </w:rPr>
        <w:t xml:space="preserve">of </w:t>
      </w:r>
      <w:r>
        <w:rPr>
          <w:szCs w:val="20"/>
        </w:rPr>
        <w:t>GEERS</w:t>
      </w:r>
      <w:r w:rsidR="007A5D1D">
        <w:rPr>
          <w:szCs w:val="20"/>
        </w:rPr>
        <w:t xml:space="preserve"> up</w:t>
      </w:r>
      <w:r>
        <w:rPr>
          <w:szCs w:val="20"/>
        </w:rPr>
        <w:t xml:space="preserve"> </w:t>
      </w:r>
      <w:r w:rsidR="005822E9" w:rsidRPr="003D7BE6">
        <w:rPr>
          <w:szCs w:val="20"/>
        </w:rPr>
        <w:t>to 5 April 2013</w:t>
      </w:r>
      <w:r>
        <w:rPr>
          <w:szCs w:val="20"/>
        </w:rPr>
        <w:t xml:space="preserve"> (</w:t>
      </w:r>
      <w:r w:rsidRPr="003D7BE6">
        <w:rPr>
          <w:color w:val="000000" w:themeColor="text1"/>
        </w:rPr>
        <w:t>assum</w:t>
      </w:r>
      <w:r>
        <w:rPr>
          <w:color w:val="000000" w:themeColor="text1"/>
        </w:rPr>
        <w:t>ing</w:t>
      </w:r>
      <w:r w:rsidRPr="003D7BE6">
        <w:rPr>
          <w:color w:val="000000" w:themeColor="text1"/>
        </w:rPr>
        <w:t xml:space="preserve"> that the other elements of Outcome 4 would </w:t>
      </w:r>
      <w:r w:rsidR="007A5D1D">
        <w:rPr>
          <w:color w:val="000000" w:themeColor="text1"/>
        </w:rPr>
        <w:t xml:space="preserve">be </w:t>
      </w:r>
      <w:r w:rsidRPr="003D7BE6">
        <w:rPr>
          <w:color w:val="000000" w:themeColor="text1"/>
        </w:rPr>
        <w:t>spen</w:t>
      </w:r>
      <w:r w:rsidR="007A5D1D">
        <w:rPr>
          <w:color w:val="000000" w:themeColor="text1"/>
        </w:rPr>
        <w:t>t</w:t>
      </w:r>
      <w:r w:rsidRPr="003D7BE6">
        <w:rPr>
          <w:color w:val="000000" w:themeColor="text1"/>
        </w:rPr>
        <w:t xml:space="preserve"> at the</w:t>
      </w:r>
      <w:r>
        <w:rPr>
          <w:color w:val="000000" w:themeColor="text1"/>
        </w:rPr>
        <w:t>ir anticipated</w:t>
      </w:r>
      <w:r w:rsidRPr="003D7BE6">
        <w:rPr>
          <w:color w:val="000000" w:themeColor="text1"/>
        </w:rPr>
        <w:t xml:space="preserve"> rate</w:t>
      </w:r>
      <w:r>
        <w:rPr>
          <w:color w:val="000000" w:themeColor="text1"/>
        </w:rPr>
        <w:t>s.</w:t>
      </w:r>
      <w:r>
        <w:rPr>
          <w:szCs w:val="20"/>
        </w:rPr>
        <w:t>).</w:t>
      </w:r>
    </w:p>
    <w:p w:rsidR="006E7861" w:rsidRPr="003D7BE6" w:rsidRDefault="006E7861" w:rsidP="006E7861">
      <w:pPr>
        <w:pStyle w:val="Heading3"/>
      </w:pPr>
      <w:bookmarkStart w:id="25" w:name="_Toc379748693"/>
      <w:r w:rsidRPr="003D7BE6">
        <w:t>Explanation of Underspend</w:t>
      </w:r>
      <w:bookmarkEnd w:id="25"/>
    </w:p>
    <w:p w:rsidR="00E02FAB" w:rsidRPr="00C30F2A" w:rsidRDefault="00E02FAB" w:rsidP="00E02FAB">
      <w:r w:rsidRPr="003C266F">
        <w:rPr>
          <w:color w:val="000000" w:themeColor="text1"/>
          <w:szCs w:val="20"/>
        </w:rPr>
        <w:t xml:space="preserve">Expenditure </w:t>
      </w:r>
      <w:r w:rsidRPr="003C266F">
        <w:rPr>
          <w:szCs w:val="20"/>
        </w:rPr>
        <w:t xml:space="preserve">under GEERS </w:t>
      </w:r>
      <w:r w:rsidR="003C266F" w:rsidRPr="003C266F">
        <w:rPr>
          <w:szCs w:val="20"/>
        </w:rPr>
        <w:t xml:space="preserve">could not </w:t>
      </w:r>
      <w:r w:rsidRPr="003C266F">
        <w:rPr>
          <w:szCs w:val="20"/>
        </w:rPr>
        <w:t xml:space="preserve">be definitively predicted because it </w:t>
      </w:r>
      <w:r w:rsidR="003C266F" w:rsidRPr="003C266F">
        <w:rPr>
          <w:szCs w:val="20"/>
        </w:rPr>
        <w:t xml:space="preserve">was </w:t>
      </w:r>
      <w:r w:rsidRPr="003C266F">
        <w:rPr>
          <w:szCs w:val="20"/>
        </w:rPr>
        <w:t>affected by a wide range of variables</w:t>
      </w:r>
      <w:r w:rsidR="003C266F" w:rsidRPr="003C266F">
        <w:rPr>
          <w:szCs w:val="20"/>
        </w:rPr>
        <w:t xml:space="preserve">. These </w:t>
      </w:r>
      <w:r w:rsidRPr="003C266F">
        <w:rPr>
          <w:szCs w:val="20"/>
        </w:rPr>
        <w:t>includ</w:t>
      </w:r>
      <w:r w:rsidR="003C266F" w:rsidRPr="003C266F">
        <w:rPr>
          <w:szCs w:val="20"/>
        </w:rPr>
        <w:t>e</w:t>
      </w:r>
      <w:r w:rsidRPr="003C266F">
        <w:rPr>
          <w:szCs w:val="20"/>
        </w:rPr>
        <w:t xml:space="preserve"> </w:t>
      </w:r>
      <w:r w:rsidRPr="003C266F">
        <w:t>the number of companies placed into liquidation, the number of claimants for GEERS assistance, the industrial instruments that determine claimants’ employment arrangements and entitlements outstanding at the time of insolvency.</w:t>
      </w:r>
    </w:p>
    <w:p w:rsidR="00EE09EE" w:rsidRPr="003D7BE6" w:rsidRDefault="003C266F" w:rsidP="003D7BE6">
      <w:pPr>
        <w:rPr>
          <w:color w:val="000000" w:themeColor="text1"/>
        </w:rPr>
      </w:pPr>
      <w:r>
        <w:rPr>
          <w:color w:val="000000" w:themeColor="text1"/>
        </w:rPr>
        <w:t>T</w:t>
      </w:r>
      <w:r w:rsidR="00EE09EE" w:rsidRPr="003D7BE6">
        <w:rPr>
          <w:color w:val="000000" w:themeColor="text1"/>
        </w:rPr>
        <w:t xml:space="preserve">he </w:t>
      </w:r>
      <w:r w:rsidR="00612D89" w:rsidRPr="003D7BE6">
        <w:rPr>
          <w:color w:val="000000" w:themeColor="text1"/>
        </w:rPr>
        <w:t>Advance</w:t>
      </w:r>
      <w:r w:rsidR="00EE09EE" w:rsidRPr="003D7BE6">
        <w:rPr>
          <w:color w:val="000000" w:themeColor="text1"/>
        </w:rPr>
        <w:t xml:space="preserve"> request was based on the best information available at the time</w:t>
      </w:r>
      <w:r>
        <w:rPr>
          <w:color w:val="000000" w:themeColor="text1"/>
        </w:rPr>
        <w:t xml:space="preserve">, noting </w:t>
      </w:r>
      <w:r w:rsidRPr="003D7BE6">
        <w:rPr>
          <w:color w:val="000000" w:themeColor="text1"/>
        </w:rPr>
        <w:t>the expectation that GEERS payments are settled expeditiously</w:t>
      </w:r>
      <w:r>
        <w:rPr>
          <w:color w:val="000000" w:themeColor="text1"/>
        </w:rPr>
        <w:t>.</w:t>
      </w:r>
    </w:p>
    <w:p w:rsidR="005C0CA9" w:rsidRDefault="00EE09EE" w:rsidP="003C266F">
      <w:pPr>
        <w:rPr>
          <w:color w:val="000000" w:themeColor="text1"/>
        </w:rPr>
      </w:pPr>
      <w:r w:rsidRPr="003D7BE6">
        <w:rPr>
          <w:color w:val="000000" w:themeColor="text1"/>
        </w:rPr>
        <w:t xml:space="preserve">Payment for some of the cases identified to support the </w:t>
      </w:r>
      <w:r w:rsidR="00612D89" w:rsidRPr="003D7BE6">
        <w:rPr>
          <w:color w:val="000000" w:themeColor="text1"/>
        </w:rPr>
        <w:t>Advance</w:t>
      </w:r>
      <w:r w:rsidRPr="003D7BE6">
        <w:rPr>
          <w:color w:val="000000" w:themeColor="text1"/>
        </w:rPr>
        <w:t xml:space="preserve"> request did not eventuate during the period because, for example, </w:t>
      </w:r>
      <w:r w:rsidR="004A5C75" w:rsidRPr="003D7BE6">
        <w:rPr>
          <w:color w:val="000000" w:themeColor="text1"/>
        </w:rPr>
        <w:t>DEEWR</w:t>
      </w:r>
      <w:r w:rsidR="00E51A2B" w:rsidRPr="003D7BE6">
        <w:rPr>
          <w:color w:val="000000" w:themeColor="text1"/>
        </w:rPr>
        <w:t xml:space="preserve"> and the insolvency practitioner had not determined the final legal entitlements due to the former employee. In other cases, the final amount of employee entitlements was less than the amount originally estimated. </w:t>
      </w:r>
      <w:r w:rsidR="003C266F" w:rsidRPr="003D7BE6">
        <w:rPr>
          <w:color w:val="000000" w:themeColor="text1"/>
        </w:rPr>
        <w:t>In addition, the remaining Outcome 4 programs underspent by $3.5 million.</w:t>
      </w:r>
    </w:p>
    <w:p w:rsidR="004274E1" w:rsidRPr="00C9348B" w:rsidRDefault="00690BE1" w:rsidP="00E433EE">
      <w:pPr>
        <w:pStyle w:val="Heading2"/>
        <w:ind w:left="2268" w:hanging="2268"/>
      </w:pPr>
      <w:bookmarkStart w:id="26" w:name="_Toc379748694"/>
      <w:proofErr w:type="gramStart"/>
      <w:r>
        <w:lastRenderedPageBreak/>
        <w:t xml:space="preserve">AFM </w:t>
      </w:r>
      <w:r w:rsidR="004274E1" w:rsidRPr="003D7BE6">
        <w:t>No.</w:t>
      </w:r>
      <w:proofErr w:type="gramEnd"/>
      <w:r w:rsidR="004274E1" w:rsidRPr="003D7BE6">
        <w:t xml:space="preserve"> </w:t>
      </w:r>
      <w:r w:rsidR="004274E1">
        <w:t>2:</w:t>
      </w:r>
      <w:r w:rsidR="008911A8">
        <w:tab/>
      </w:r>
      <w:r w:rsidR="004274E1" w:rsidRPr="003D7BE6">
        <w:t>Health</w:t>
      </w:r>
      <w:r w:rsidR="00C30F2A">
        <w:t>: Outcome 13</w:t>
      </w:r>
      <w:bookmarkEnd w:id="26"/>
    </w:p>
    <w:tbl>
      <w:tblPr>
        <w:tblW w:w="9180" w:type="dxa"/>
        <w:tblLayout w:type="fixed"/>
        <w:tblLook w:val="04A0"/>
      </w:tblPr>
      <w:tblGrid>
        <w:gridCol w:w="2408"/>
        <w:gridCol w:w="1837"/>
        <w:gridCol w:w="1940"/>
        <w:gridCol w:w="2995"/>
      </w:tblGrid>
      <w:tr w:rsidR="00E346DF" w:rsidRPr="003D7BE6" w:rsidTr="00C420A6">
        <w:trPr>
          <w:trHeight w:val="439"/>
        </w:trPr>
        <w:tc>
          <w:tcPr>
            <w:tcW w:w="2408" w:type="dxa"/>
          </w:tcPr>
          <w:p w:rsidR="00E346DF" w:rsidRPr="003D7BE6" w:rsidRDefault="00E346DF" w:rsidP="00C30F2A">
            <w:pPr>
              <w:pStyle w:val="TableText"/>
              <w:rPr>
                <w:b/>
                <w:snapToGrid w:val="0"/>
              </w:rPr>
            </w:pPr>
            <w:r w:rsidRPr="003D7BE6">
              <w:rPr>
                <w:b/>
                <w:snapToGrid w:val="0"/>
              </w:rPr>
              <w:t xml:space="preserve">Legislative Instrument </w:t>
            </w:r>
          </w:p>
        </w:tc>
        <w:tc>
          <w:tcPr>
            <w:tcW w:w="6772" w:type="dxa"/>
            <w:gridSpan w:val="3"/>
          </w:tcPr>
          <w:p w:rsidR="00E346DF" w:rsidRPr="003D7BE6" w:rsidRDefault="00AA7E7F" w:rsidP="003D7BE6">
            <w:pPr>
              <w:pStyle w:val="TableText"/>
            </w:pPr>
            <w:r w:rsidRPr="003D7BE6">
              <w:t>F2013L00558</w:t>
            </w:r>
            <w:r w:rsidR="00E346DF" w:rsidRPr="003D7BE6">
              <w:t>, Advance to the Finance Minister</w:t>
            </w:r>
            <w:r w:rsidR="003C3029" w:rsidRPr="003D7BE6">
              <w:t xml:space="preserve"> — </w:t>
            </w:r>
            <w:r w:rsidR="009F3652" w:rsidRPr="003D7BE6">
              <w:t>S</w:t>
            </w:r>
            <w:r w:rsidR="00E346DF" w:rsidRPr="003D7BE6">
              <w:t>ection</w:t>
            </w:r>
            <w:r w:rsidR="00046EBE" w:rsidRPr="003D7BE6">
              <w:t> </w:t>
            </w:r>
            <w:r w:rsidR="00E346DF" w:rsidRPr="003D7BE6">
              <w:t xml:space="preserve">13 of </w:t>
            </w:r>
            <w:r w:rsidRPr="003D7BE6">
              <w:rPr>
                <w:i/>
              </w:rPr>
              <w:t>Appropriation Act (No. 1) 2012-2013</w:t>
            </w:r>
          </w:p>
        </w:tc>
      </w:tr>
      <w:tr w:rsidR="00E346DF" w:rsidRPr="003D7BE6" w:rsidTr="00C420A6">
        <w:trPr>
          <w:trHeight w:val="439"/>
        </w:trPr>
        <w:tc>
          <w:tcPr>
            <w:tcW w:w="2408" w:type="dxa"/>
          </w:tcPr>
          <w:p w:rsidR="00E346DF" w:rsidRPr="003D7BE6" w:rsidRDefault="00C30F2A" w:rsidP="003D7BE6">
            <w:pPr>
              <w:pStyle w:val="TableText"/>
              <w:rPr>
                <w:b/>
                <w:snapToGrid w:val="0"/>
              </w:rPr>
            </w:pPr>
            <w:r>
              <w:rPr>
                <w:b/>
                <w:snapToGrid w:val="0"/>
              </w:rPr>
              <w:t>Sequence</w:t>
            </w:r>
          </w:p>
        </w:tc>
        <w:tc>
          <w:tcPr>
            <w:tcW w:w="6772" w:type="dxa"/>
            <w:gridSpan w:val="3"/>
          </w:tcPr>
          <w:p w:rsidR="00E346DF" w:rsidRPr="003D7BE6" w:rsidRDefault="00AA7E7F" w:rsidP="003D7BE6">
            <w:pPr>
              <w:pStyle w:val="TableText"/>
            </w:pPr>
            <w:r w:rsidRPr="003D7BE6">
              <w:t>No. 2</w:t>
            </w:r>
            <w:r w:rsidR="00E346DF" w:rsidRPr="003D7BE6">
              <w:t xml:space="preserve"> of </w:t>
            </w:r>
            <w:r w:rsidR="00C22C3B">
              <w:t>2012-13</w:t>
            </w:r>
            <w:r w:rsidR="005C0CA9">
              <w:t xml:space="preserve">, </w:t>
            </w:r>
            <w:r w:rsidR="005C0CA9" w:rsidRPr="003D7BE6">
              <w:t>26 March 2013</w:t>
            </w:r>
          </w:p>
        </w:tc>
      </w:tr>
      <w:tr w:rsidR="00E346DF" w:rsidRPr="003D7BE6" w:rsidTr="00C420A6">
        <w:trPr>
          <w:trHeight w:val="439"/>
        </w:trPr>
        <w:tc>
          <w:tcPr>
            <w:tcW w:w="2408" w:type="dxa"/>
          </w:tcPr>
          <w:p w:rsidR="00E346DF" w:rsidRPr="003D7BE6" w:rsidRDefault="00E346DF" w:rsidP="003D7BE6">
            <w:pPr>
              <w:pStyle w:val="TableText"/>
              <w:rPr>
                <w:b/>
              </w:rPr>
            </w:pPr>
            <w:r w:rsidRPr="003D7BE6">
              <w:rPr>
                <w:b/>
                <w:snapToGrid w:val="0"/>
              </w:rPr>
              <w:t>Portfolio</w:t>
            </w:r>
          </w:p>
        </w:tc>
        <w:tc>
          <w:tcPr>
            <w:tcW w:w="6772" w:type="dxa"/>
            <w:gridSpan w:val="3"/>
          </w:tcPr>
          <w:p w:rsidR="00E346DF" w:rsidRPr="003D7BE6" w:rsidRDefault="00613E34" w:rsidP="003D7BE6">
            <w:pPr>
              <w:pStyle w:val="TableText"/>
            </w:pPr>
            <w:r w:rsidRPr="003D7BE6">
              <w:t>Health and Ageing</w:t>
            </w:r>
          </w:p>
        </w:tc>
      </w:tr>
      <w:tr w:rsidR="00E346DF" w:rsidRPr="003D7BE6" w:rsidTr="00C420A6">
        <w:trPr>
          <w:trHeight w:val="439"/>
        </w:trPr>
        <w:tc>
          <w:tcPr>
            <w:tcW w:w="2408" w:type="dxa"/>
          </w:tcPr>
          <w:p w:rsidR="00E346DF" w:rsidRPr="003D7BE6" w:rsidRDefault="00E346DF" w:rsidP="003D7BE6">
            <w:pPr>
              <w:pStyle w:val="TableText"/>
              <w:rPr>
                <w:b/>
              </w:rPr>
            </w:pPr>
            <w:r w:rsidRPr="003D7BE6">
              <w:rPr>
                <w:b/>
                <w:snapToGrid w:val="0"/>
              </w:rPr>
              <w:t>Agency</w:t>
            </w:r>
          </w:p>
        </w:tc>
        <w:tc>
          <w:tcPr>
            <w:tcW w:w="6772" w:type="dxa"/>
            <w:gridSpan w:val="3"/>
          </w:tcPr>
          <w:p w:rsidR="00E346DF" w:rsidRPr="003D7BE6" w:rsidRDefault="00613E34" w:rsidP="003D7BE6">
            <w:pPr>
              <w:pStyle w:val="TableText"/>
            </w:pPr>
            <w:r w:rsidRPr="003D7BE6">
              <w:t>Department of Health and Ageing</w:t>
            </w:r>
            <w:r w:rsidR="00F634B4">
              <w:t xml:space="preserve"> (Health)</w:t>
            </w:r>
          </w:p>
        </w:tc>
      </w:tr>
      <w:tr w:rsidR="00E346DF" w:rsidRPr="003D7BE6" w:rsidTr="00C420A6">
        <w:trPr>
          <w:trHeight w:val="439"/>
        </w:trPr>
        <w:tc>
          <w:tcPr>
            <w:tcW w:w="2408" w:type="dxa"/>
          </w:tcPr>
          <w:p w:rsidR="00E346DF" w:rsidRPr="003D7BE6" w:rsidRDefault="00E346DF" w:rsidP="003D7BE6">
            <w:pPr>
              <w:pStyle w:val="TableText"/>
              <w:rPr>
                <w:b/>
              </w:rPr>
            </w:pPr>
            <w:r w:rsidRPr="003D7BE6">
              <w:rPr>
                <w:b/>
              </w:rPr>
              <w:t>Appropriation Item</w:t>
            </w:r>
          </w:p>
        </w:tc>
        <w:tc>
          <w:tcPr>
            <w:tcW w:w="6772" w:type="dxa"/>
            <w:gridSpan w:val="3"/>
          </w:tcPr>
          <w:p w:rsidR="00E346DF" w:rsidRPr="003D7BE6" w:rsidRDefault="00C62860" w:rsidP="003D7BE6">
            <w:pPr>
              <w:pStyle w:val="TableText"/>
            </w:pPr>
            <w:r w:rsidRPr="003D7BE6">
              <w:t xml:space="preserve">Administered Item, Outcome </w:t>
            </w:r>
            <w:r w:rsidR="00613E34" w:rsidRPr="003D7BE6">
              <w:t>13</w:t>
            </w:r>
          </w:p>
        </w:tc>
      </w:tr>
      <w:tr w:rsidR="00E346DF" w:rsidRPr="003D7BE6" w:rsidTr="00C420A6">
        <w:trPr>
          <w:trHeight w:val="439"/>
        </w:trPr>
        <w:tc>
          <w:tcPr>
            <w:tcW w:w="2408" w:type="dxa"/>
          </w:tcPr>
          <w:p w:rsidR="00E346DF" w:rsidRPr="003D7BE6" w:rsidRDefault="00E346DF" w:rsidP="003D7BE6">
            <w:pPr>
              <w:pStyle w:val="TableText"/>
              <w:rPr>
                <w:b/>
              </w:rPr>
            </w:pPr>
            <w:r w:rsidRPr="003D7BE6">
              <w:rPr>
                <w:b/>
              </w:rPr>
              <w:t>Outcome</w:t>
            </w:r>
            <w:r w:rsidR="00DA00F1">
              <w:rPr>
                <w:b/>
              </w:rPr>
              <w:t xml:space="preserve"> text</w:t>
            </w:r>
          </w:p>
        </w:tc>
        <w:tc>
          <w:tcPr>
            <w:tcW w:w="6772" w:type="dxa"/>
            <w:gridSpan w:val="3"/>
          </w:tcPr>
          <w:p w:rsidR="00E346DF" w:rsidRPr="003D7BE6" w:rsidRDefault="00613E34" w:rsidP="003D7BE6">
            <w:pPr>
              <w:pStyle w:val="TableText"/>
              <w:rPr>
                <w:szCs w:val="20"/>
              </w:rPr>
            </w:pPr>
            <w:r w:rsidRPr="003D7BE6">
              <w:rPr>
                <w:szCs w:val="20"/>
              </w:rPr>
              <w:t xml:space="preserve">Acute Care - </w:t>
            </w:r>
            <w:r w:rsidRPr="003D7BE6">
              <w:rPr>
                <w:lang w:eastAsia="en-AU"/>
              </w:rPr>
              <w:t>Improved access to public hospitals, acute care services and public dental services, including through targeted strategies, and payments to State and Territory Governments</w:t>
            </w:r>
          </w:p>
        </w:tc>
      </w:tr>
      <w:tr w:rsidR="00E346DF" w:rsidRPr="003D7BE6" w:rsidTr="00C420A6">
        <w:trPr>
          <w:trHeight w:val="439"/>
        </w:trPr>
        <w:tc>
          <w:tcPr>
            <w:tcW w:w="2408" w:type="dxa"/>
          </w:tcPr>
          <w:p w:rsidR="00E346DF" w:rsidRPr="003D7BE6" w:rsidRDefault="00E346DF" w:rsidP="003D7BE6">
            <w:pPr>
              <w:pStyle w:val="TableText"/>
              <w:rPr>
                <w:b/>
              </w:rPr>
            </w:pPr>
            <w:r w:rsidRPr="003D7BE6">
              <w:rPr>
                <w:b/>
              </w:rPr>
              <w:t>Program</w:t>
            </w:r>
          </w:p>
        </w:tc>
        <w:tc>
          <w:tcPr>
            <w:tcW w:w="6772" w:type="dxa"/>
            <w:gridSpan w:val="3"/>
          </w:tcPr>
          <w:p w:rsidR="00E346DF" w:rsidRPr="003D7BE6" w:rsidRDefault="00613E34" w:rsidP="003D7BE6">
            <w:pPr>
              <w:pStyle w:val="TableText"/>
            </w:pPr>
            <w:r w:rsidRPr="003D7BE6">
              <w:t>Public Hospitals and Information</w:t>
            </w:r>
          </w:p>
        </w:tc>
      </w:tr>
      <w:tr w:rsidR="00E346DF" w:rsidRPr="003D7BE6" w:rsidTr="00C420A6">
        <w:tc>
          <w:tcPr>
            <w:tcW w:w="2408" w:type="dxa"/>
          </w:tcPr>
          <w:p w:rsidR="00E346DF" w:rsidRPr="003D7BE6" w:rsidRDefault="00E346DF" w:rsidP="003D7BE6">
            <w:pPr>
              <w:pStyle w:val="TableText"/>
              <w:rPr>
                <w:u w:val="single"/>
              </w:rPr>
            </w:pPr>
          </w:p>
        </w:tc>
        <w:tc>
          <w:tcPr>
            <w:tcW w:w="1837" w:type="dxa"/>
          </w:tcPr>
          <w:p w:rsidR="00E346DF" w:rsidRPr="003D7BE6" w:rsidRDefault="00E346DF" w:rsidP="003D7BE6">
            <w:pPr>
              <w:pStyle w:val="TableText"/>
              <w:rPr>
                <w:u w:val="single"/>
              </w:rPr>
            </w:pPr>
            <w:r w:rsidRPr="003D7BE6">
              <w:rPr>
                <w:u w:val="single"/>
              </w:rPr>
              <w:t>Legislative Requirement</w:t>
            </w:r>
          </w:p>
        </w:tc>
        <w:tc>
          <w:tcPr>
            <w:tcW w:w="1940" w:type="dxa"/>
          </w:tcPr>
          <w:p w:rsidR="00E346DF" w:rsidRPr="003D7BE6" w:rsidRDefault="00E346DF" w:rsidP="003D7BE6">
            <w:pPr>
              <w:pStyle w:val="TableText"/>
              <w:rPr>
                <w:u w:val="single"/>
              </w:rPr>
            </w:pPr>
            <w:r w:rsidRPr="003D7BE6">
              <w:rPr>
                <w:u w:val="single"/>
              </w:rPr>
              <w:t>Amount Issued</w:t>
            </w:r>
          </w:p>
        </w:tc>
        <w:tc>
          <w:tcPr>
            <w:tcW w:w="2995" w:type="dxa"/>
          </w:tcPr>
          <w:p w:rsidR="00E346DF" w:rsidRPr="003D7BE6" w:rsidRDefault="00E346DF" w:rsidP="003D7BE6">
            <w:pPr>
              <w:pStyle w:val="TableText"/>
              <w:rPr>
                <w:u w:val="single"/>
              </w:rPr>
            </w:pPr>
            <w:r w:rsidRPr="003D7BE6">
              <w:rPr>
                <w:u w:val="single"/>
              </w:rPr>
              <w:t>Expenditure</w:t>
            </w:r>
          </w:p>
        </w:tc>
      </w:tr>
      <w:tr w:rsidR="00E346DF" w:rsidRPr="003D7BE6" w:rsidTr="00C420A6">
        <w:tc>
          <w:tcPr>
            <w:tcW w:w="2408" w:type="dxa"/>
          </w:tcPr>
          <w:p w:rsidR="00E346DF" w:rsidRPr="003D7BE6" w:rsidRDefault="00E346DF" w:rsidP="003D7BE6">
            <w:pPr>
              <w:pStyle w:val="TableText"/>
            </w:pPr>
          </w:p>
        </w:tc>
        <w:tc>
          <w:tcPr>
            <w:tcW w:w="1837" w:type="dxa"/>
          </w:tcPr>
          <w:p w:rsidR="00E346DF" w:rsidRPr="003D7BE6" w:rsidRDefault="00E346DF" w:rsidP="003D7BE6">
            <w:pPr>
              <w:pStyle w:val="TableText"/>
            </w:pPr>
            <w:r w:rsidRPr="003D7BE6">
              <w:t>Unforeseen</w:t>
            </w:r>
          </w:p>
        </w:tc>
        <w:tc>
          <w:tcPr>
            <w:tcW w:w="1940" w:type="dxa"/>
          </w:tcPr>
          <w:p w:rsidR="00E346DF" w:rsidRPr="003D7BE6" w:rsidRDefault="00854550" w:rsidP="003D7BE6">
            <w:pPr>
              <w:pStyle w:val="TableText"/>
            </w:pPr>
            <w:r w:rsidRPr="003D7BE6">
              <w:t>$</w:t>
            </w:r>
            <w:r w:rsidR="00613E34" w:rsidRPr="003D7BE6">
              <w:t>107,000,000</w:t>
            </w:r>
          </w:p>
        </w:tc>
        <w:tc>
          <w:tcPr>
            <w:tcW w:w="2995" w:type="dxa"/>
          </w:tcPr>
          <w:p w:rsidR="00E346DF" w:rsidRPr="003D7BE6" w:rsidRDefault="00854550" w:rsidP="003D7BE6">
            <w:pPr>
              <w:pStyle w:val="TableText"/>
            </w:pPr>
            <w:r w:rsidRPr="003D7BE6">
              <w:t>$</w:t>
            </w:r>
            <w:r w:rsidR="00613E34" w:rsidRPr="003D7BE6">
              <w:t>107,000,000</w:t>
            </w:r>
          </w:p>
        </w:tc>
      </w:tr>
    </w:tbl>
    <w:p w:rsidR="00C30F2A" w:rsidRDefault="00C30F2A" w:rsidP="00C30F2A"/>
    <w:p w:rsidR="00E346DF" w:rsidRPr="003D7BE6" w:rsidRDefault="00E346DF" w:rsidP="00C30F2A">
      <w:pPr>
        <w:pStyle w:val="Heading3"/>
      </w:pPr>
      <w:bookmarkStart w:id="27" w:name="_Toc379748695"/>
      <w:r w:rsidRPr="003D7BE6">
        <w:t>Explanation of Requirement</w:t>
      </w:r>
      <w:bookmarkEnd w:id="27"/>
    </w:p>
    <w:p w:rsidR="00DC0948" w:rsidRDefault="00613E34" w:rsidP="003D7BE6">
      <w:r w:rsidRPr="003D7BE6">
        <w:t xml:space="preserve">Urgent payments </w:t>
      </w:r>
      <w:r w:rsidR="00DC0948">
        <w:t xml:space="preserve">were required </w:t>
      </w:r>
      <w:r w:rsidRPr="003D7BE6">
        <w:t>to be made directly to the Victorian Local Hospital Networks through the Local Hospital Network Special Account</w:t>
      </w:r>
      <w:r w:rsidR="00DC0948">
        <w:t xml:space="preserve">.  </w:t>
      </w:r>
    </w:p>
    <w:p w:rsidR="00A628BD" w:rsidRPr="003D7BE6" w:rsidRDefault="00DC0948" w:rsidP="003D7BE6">
      <w:pPr>
        <w:rPr>
          <w:color w:val="000000" w:themeColor="text1"/>
        </w:rPr>
      </w:pPr>
      <w:r>
        <w:t>This occurred</w:t>
      </w:r>
      <w:r w:rsidR="00613E34" w:rsidRPr="003D7BE6">
        <w:t xml:space="preserve"> in accordance with a decision of </w:t>
      </w:r>
      <w:r>
        <w:t xml:space="preserve">the then </w:t>
      </w:r>
      <w:r w:rsidR="00613E34" w:rsidRPr="003D7BE6">
        <w:t>Government</w:t>
      </w:r>
      <w:r w:rsidR="00926C1C" w:rsidRPr="003D7BE6">
        <w:rPr>
          <w:color w:val="000000" w:themeColor="text1"/>
        </w:rPr>
        <w:t>.</w:t>
      </w:r>
    </w:p>
    <w:p w:rsidR="0060537A" w:rsidRDefault="0060537A" w:rsidP="004274E1"/>
    <w:p w:rsidR="00BB667F" w:rsidRDefault="00BB667F">
      <w:pPr>
        <w:spacing w:after="0"/>
      </w:pPr>
      <w:r>
        <w:br w:type="page"/>
      </w:r>
    </w:p>
    <w:p w:rsidR="004274E1" w:rsidRPr="00C9348B" w:rsidRDefault="00690BE1" w:rsidP="00E433EE">
      <w:pPr>
        <w:pStyle w:val="Heading2"/>
        <w:ind w:left="2268" w:hanging="2268"/>
      </w:pPr>
      <w:bookmarkStart w:id="28" w:name="_Toc379748696"/>
      <w:proofErr w:type="gramStart"/>
      <w:r>
        <w:lastRenderedPageBreak/>
        <w:t xml:space="preserve">AFM </w:t>
      </w:r>
      <w:r w:rsidR="004274E1" w:rsidRPr="003D7BE6">
        <w:t>No.</w:t>
      </w:r>
      <w:proofErr w:type="gramEnd"/>
      <w:r w:rsidR="004274E1" w:rsidRPr="003D7BE6">
        <w:t xml:space="preserve"> </w:t>
      </w:r>
      <w:r w:rsidR="004274E1">
        <w:t xml:space="preserve">3: </w:t>
      </w:r>
      <w:r w:rsidR="008911A8">
        <w:tab/>
      </w:r>
      <w:r w:rsidR="00F634B4" w:rsidRPr="00F634B4">
        <w:rPr>
          <w:rFonts w:asciiTheme="minorHAnsi" w:hAnsiTheme="minorHAnsi"/>
        </w:rPr>
        <w:t>FaHCSIA</w:t>
      </w:r>
      <w:r w:rsidR="00C30F2A">
        <w:t>: Outcome 1</w:t>
      </w:r>
      <w:bookmarkEnd w:id="28"/>
    </w:p>
    <w:tbl>
      <w:tblPr>
        <w:tblW w:w="9322" w:type="dxa"/>
        <w:tblLayout w:type="fixed"/>
        <w:tblLook w:val="0000"/>
      </w:tblPr>
      <w:tblGrid>
        <w:gridCol w:w="2377"/>
        <w:gridCol w:w="1828"/>
        <w:gridCol w:w="1924"/>
        <w:gridCol w:w="3193"/>
      </w:tblGrid>
      <w:tr w:rsidR="008C5F50" w:rsidRPr="003D7BE6" w:rsidTr="00DC0948">
        <w:trPr>
          <w:trHeight w:val="439"/>
        </w:trPr>
        <w:tc>
          <w:tcPr>
            <w:tcW w:w="2377" w:type="dxa"/>
          </w:tcPr>
          <w:p w:rsidR="008C5F50" w:rsidRPr="003D7BE6" w:rsidRDefault="008C5F50" w:rsidP="00C30F2A">
            <w:pPr>
              <w:pStyle w:val="TableText"/>
              <w:rPr>
                <w:b/>
                <w:snapToGrid w:val="0"/>
              </w:rPr>
            </w:pPr>
            <w:r w:rsidRPr="003D7BE6">
              <w:rPr>
                <w:b/>
                <w:snapToGrid w:val="0"/>
              </w:rPr>
              <w:t xml:space="preserve">Legislative Instrument </w:t>
            </w:r>
          </w:p>
        </w:tc>
        <w:tc>
          <w:tcPr>
            <w:tcW w:w="6945" w:type="dxa"/>
            <w:gridSpan w:val="3"/>
          </w:tcPr>
          <w:p w:rsidR="008C5F50" w:rsidRPr="003D7BE6" w:rsidRDefault="00613E34" w:rsidP="00DC0948">
            <w:pPr>
              <w:pStyle w:val="TableText"/>
            </w:pPr>
            <w:r w:rsidRPr="003D7BE6">
              <w:t>F2013L01045</w:t>
            </w:r>
            <w:r w:rsidR="008C5F50" w:rsidRPr="003D7BE6">
              <w:t>, Advance to the Finance Minister</w:t>
            </w:r>
            <w:r w:rsidR="003C3029" w:rsidRPr="003D7BE6">
              <w:t xml:space="preserve"> — </w:t>
            </w:r>
            <w:r w:rsidR="00EF39DA" w:rsidRPr="003D7BE6">
              <w:t>S</w:t>
            </w:r>
            <w:r w:rsidR="008C5F50" w:rsidRPr="003D7BE6">
              <w:t xml:space="preserve">ection 13 of </w:t>
            </w:r>
            <w:r w:rsidR="008C5F50" w:rsidRPr="003D7BE6">
              <w:rPr>
                <w:i/>
              </w:rPr>
              <w:t>Appropriation Act (No. 1) 20</w:t>
            </w:r>
            <w:r w:rsidR="00854550" w:rsidRPr="003D7BE6">
              <w:rPr>
                <w:i/>
              </w:rPr>
              <w:t>1</w:t>
            </w:r>
            <w:r w:rsidR="00A949D1" w:rsidRPr="003D7BE6">
              <w:rPr>
                <w:i/>
              </w:rPr>
              <w:t>2</w:t>
            </w:r>
            <w:r w:rsidR="00046EBE" w:rsidRPr="003D7BE6">
              <w:rPr>
                <w:i/>
              </w:rPr>
              <w:noBreakHyphen/>
            </w:r>
            <w:r w:rsidR="008C5F50" w:rsidRPr="003D7BE6">
              <w:rPr>
                <w:i/>
              </w:rPr>
              <w:t>201</w:t>
            </w:r>
            <w:r w:rsidR="00A949D1" w:rsidRPr="003D7BE6">
              <w:rPr>
                <w:i/>
              </w:rPr>
              <w:t>3</w:t>
            </w:r>
          </w:p>
        </w:tc>
      </w:tr>
      <w:tr w:rsidR="008C5F50" w:rsidRPr="003D7BE6" w:rsidTr="00DC0948">
        <w:trPr>
          <w:trHeight w:val="439"/>
        </w:trPr>
        <w:tc>
          <w:tcPr>
            <w:tcW w:w="2377" w:type="dxa"/>
          </w:tcPr>
          <w:p w:rsidR="008C5F50" w:rsidRPr="003D7BE6" w:rsidRDefault="00C30F2A" w:rsidP="003D7BE6">
            <w:pPr>
              <w:pStyle w:val="TableText"/>
              <w:rPr>
                <w:b/>
                <w:snapToGrid w:val="0"/>
              </w:rPr>
            </w:pPr>
            <w:r>
              <w:rPr>
                <w:b/>
                <w:snapToGrid w:val="0"/>
              </w:rPr>
              <w:t>Sequence</w:t>
            </w:r>
          </w:p>
        </w:tc>
        <w:tc>
          <w:tcPr>
            <w:tcW w:w="6945" w:type="dxa"/>
            <w:gridSpan w:val="3"/>
          </w:tcPr>
          <w:p w:rsidR="008C5F50" w:rsidRPr="003D7BE6" w:rsidRDefault="00613E34" w:rsidP="003D7BE6">
            <w:pPr>
              <w:pStyle w:val="TableText"/>
            </w:pPr>
            <w:r w:rsidRPr="003D7BE6">
              <w:t>No. 3</w:t>
            </w:r>
            <w:r w:rsidR="008C5F50" w:rsidRPr="003D7BE6">
              <w:t xml:space="preserve"> of </w:t>
            </w:r>
            <w:r w:rsidR="00C22C3B">
              <w:t>2012-13</w:t>
            </w:r>
            <w:r w:rsidR="005C0CA9">
              <w:t xml:space="preserve">, </w:t>
            </w:r>
            <w:r w:rsidR="005C0CA9" w:rsidRPr="003D7BE6">
              <w:t>18 June 2013</w:t>
            </w:r>
          </w:p>
        </w:tc>
      </w:tr>
      <w:tr w:rsidR="008C5F50" w:rsidRPr="003D7BE6" w:rsidTr="00DC0948">
        <w:trPr>
          <w:trHeight w:val="439"/>
        </w:trPr>
        <w:tc>
          <w:tcPr>
            <w:tcW w:w="2377" w:type="dxa"/>
          </w:tcPr>
          <w:p w:rsidR="008C5F50" w:rsidRPr="003D7BE6" w:rsidRDefault="008C5F50" w:rsidP="003D7BE6">
            <w:pPr>
              <w:pStyle w:val="TableText"/>
              <w:rPr>
                <w:b/>
              </w:rPr>
            </w:pPr>
            <w:r w:rsidRPr="003D7BE6">
              <w:rPr>
                <w:b/>
                <w:snapToGrid w:val="0"/>
              </w:rPr>
              <w:t>Portfolio</w:t>
            </w:r>
          </w:p>
        </w:tc>
        <w:tc>
          <w:tcPr>
            <w:tcW w:w="6945" w:type="dxa"/>
            <w:gridSpan w:val="3"/>
          </w:tcPr>
          <w:p w:rsidR="008C5F50" w:rsidRPr="00F634B4" w:rsidRDefault="009F3DCC" w:rsidP="003D7BE6">
            <w:pPr>
              <w:pStyle w:val="TableText"/>
            </w:pPr>
            <w:r w:rsidRPr="00F634B4">
              <w:t>Families, Housing, Community Services and Indigenous Affairs</w:t>
            </w:r>
            <w:r w:rsidR="00F634B4" w:rsidRPr="00F634B4">
              <w:t xml:space="preserve"> (FaHCSIA)</w:t>
            </w:r>
          </w:p>
        </w:tc>
      </w:tr>
      <w:tr w:rsidR="00854550" w:rsidRPr="003D7BE6" w:rsidTr="00DC0948">
        <w:trPr>
          <w:trHeight w:val="439"/>
        </w:trPr>
        <w:tc>
          <w:tcPr>
            <w:tcW w:w="2377" w:type="dxa"/>
          </w:tcPr>
          <w:p w:rsidR="00854550" w:rsidRPr="003D7BE6" w:rsidRDefault="00854550" w:rsidP="003D7BE6">
            <w:pPr>
              <w:pStyle w:val="TableText"/>
              <w:rPr>
                <w:b/>
              </w:rPr>
            </w:pPr>
            <w:r w:rsidRPr="003D7BE6">
              <w:rPr>
                <w:b/>
                <w:snapToGrid w:val="0"/>
              </w:rPr>
              <w:t>Agency</w:t>
            </w:r>
          </w:p>
        </w:tc>
        <w:tc>
          <w:tcPr>
            <w:tcW w:w="6945" w:type="dxa"/>
            <w:gridSpan w:val="3"/>
          </w:tcPr>
          <w:p w:rsidR="00854550" w:rsidRPr="003D7BE6" w:rsidRDefault="009F3DCC" w:rsidP="003D7BE6">
            <w:pPr>
              <w:pStyle w:val="TableText"/>
            </w:pPr>
            <w:r w:rsidRPr="003D7BE6">
              <w:t>Department of Families, Housing, Community Services and Indigenous Affairs</w:t>
            </w:r>
          </w:p>
        </w:tc>
      </w:tr>
      <w:tr w:rsidR="00854550" w:rsidRPr="003D7BE6" w:rsidTr="00DC0948">
        <w:trPr>
          <w:trHeight w:val="439"/>
        </w:trPr>
        <w:tc>
          <w:tcPr>
            <w:tcW w:w="2377" w:type="dxa"/>
          </w:tcPr>
          <w:p w:rsidR="00854550" w:rsidRPr="003D7BE6" w:rsidRDefault="00854550" w:rsidP="003D7BE6">
            <w:pPr>
              <w:pStyle w:val="TableText"/>
              <w:rPr>
                <w:b/>
              </w:rPr>
            </w:pPr>
            <w:r w:rsidRPr="003D7BE6">
              <w:rPr>
                <w:b/>
              </w:rPr>
              <w:t>Appropriation Item</w:t>
            </w:r>
          </w:p>
        </w:tc>
        <w:tc>
          <w:tcPr>
            <w:tcW w:w="6945" w:type="dxa"/>
            <w:gridSpan w:val="3"/>
          </w:tcPr>
          <w:p w:rsidR="00854550" w:rsidRPr="003D7BE6" w:rsidRDefault="00854550" w:rsidP="003D7BE6">
            <w:pPr>
              <w:pStyle w:val="TableText"/>
            </w:pPr>
            <w:r w:rsidRPr="003D7BE6">
              <w:t xml:space="preserve">Administered Item, Outcome </w:t>
            </w:r>
            <w:r w:rsidR="00613E34" w:rsidRPr="003D7BE6">
              <w:t>1</w:t>
            </w:r>
          </w:p>
        </w:tc>
      </w:tr>
      <w:tr w:rsidR="00854550" w:rsidRPr="003D7BE6" w:rsidTr="00DC0948">
        <w:trPr>
          <w:trHeight w:val="439"/>
        </w:trPr>
        <w:tc>
          <w:tcPr>
            <w:tcW w:w="2377" w:type="dxa"/>
          </w:tcPr>
          <w:p w:rsidR="00854550" w:rsidRPr="003D7BE6" w:rsidRDefault="00854550" w:rsidP="003D7BE6">
            <w:pPr>
              <w:pStyle w:val="TableText"/>
              <w:rPr>
                <w:b/>
              </w:rPr>
            </w:pPr>
            <w:r w:rsidRPr="003D7BE6">
              <w:rPr>
                <w:b/>
              </w:rPr>
              <w:t>Outcome</w:t>
            </w:r>
            <w:r w:rsidR="00DA00F1">
              <w:rPr>
                <w:b/>
              </w:rPr>
              <w:t xml:space="preserve"> text</w:t>
            </w:r>
          </w:p>
        </w:tc>
        <w:tc>
          <w:tcPr>
            <w:tcW w:w="6945" w:type="dxa"/>
            <w:gridSpan w:val="3"/>
          </w:tcPr>
          <w:p w:rsidR="00854550" w:rsidRPr="003D7BE6" w:rsidRDefault="00613E34" w:rsidP="003D7BE6">
            <w:pPr>
              <w:pStyle w:val="TableText"/>
              <w:rPr>
                <w:szCs w:val="20"/>
              </w:rPr>
            </w:pPr>
            <w:r w:rsidRPr="003D7BE6">
              <w:t xml:space="preserve">Improved </w:t>
            </w:r>
            <w:r w:rsidRPr="003D7BE6">
              <w:rPr>
                <w:lang w:eastAsia="en-AU"/>
              </w:rPr>
              <w:t>child development, safety and family functioning through support services for all Australians, payments for low and medium income families with children, and child support policy</w:t>
            </w:r>
          </w:p>
        </w:tc>
      </w:tr>
      <w:tr w:rsidR="00854550" w:rsidRPr="003D7BE6" w:rsidTr="00DC0948">
        <w:trPr>
          <w:trHeight w:val="439"/>
        </w:trPr>
        <w:tc>
          <w:tcPr>
            <w:tcW w:w="2377" w:type="dxa"/>
          </w:tcPr>
          <w:p w:rsidR="00854550" w:rsidRPr="003D7BE6" w:rsidRDefault="00854550" w:rsidP="003D7BE6">
            <w:pPr>
              <w:pStyle w:val="TableText"/>
              <w:rPr>
                <w:b/>
              </w:rPr>
            </w:pPr>
            <w:r w:rsidRPr="003D7BE6">
              <w:rPr>
                <w:b/>
              </w:rPr>
              <w:t>Program</w:t>
            </w:r>
          </w:p>
        </w:tc>
        <w:tc>
          <w:tcPr>
            <w:tcW w:w="6945" w:type="dxa"/>
            <w:gridSpan w:val="3"/>
          </w:tcPr>
          <w:p w:rsidR="00854550" w:rsidRPr="003D7BE6" w:rsidRDefault="00613E34" w:rsidP="003D7BE6">
            <w:pPr>
              <w:pStyle w:val="TableText"/>
            </w:pPr>
            <w:r w:rsidRPr="003D7BE6">
              <w:t>Family Support</w:t>
            </w:r>
          </w:p>
        </w:tc>
      </w:tr>
      <w:tr w:rsidR="00854550" w:rsidRPr="003D7BE6" w:rsidTr="00DC0948">
        <w:tc>
          <w:tcPr>
            <w:tcW w:w="2377" w:type="dxa"/>
          </w:tcPr>
          <w:p w:rsidR="00854550" w:rsidRPr="003D7BE6" w:rsidRDefault="00854550" w:rsidP="003D7BE6">
            <w:pPr>
              <w:pStyle w:val="TableText"/>
              <w:rPr>
                <w:u w:val="single"/>
              </w:rPr>
            </w:pPr>
          </w:p>
        </w:tc>
        <w:tc>
          <w:tcPr>
            <w:tcW w:w="1828" w:type="dxa"/>
          </w:tcPr>
          <w:p w:rsidR="00854550" w:rsidRPr="003D7BE6" w:rsidRDefault="00854550" w:rsidP="003D7BE6">
            <w:pPr>
              <w:pStyle w:val="TableText"/>
              <w:rPr>
                <w:u w:val="single"/>
              </w:rPr>
            </w:pPr>
            <w:r w:rsidRPr="003D7BE6">
              <w:rPr>
                <w:u w:val="single"/>
              </w:rPr>
              <w:t>Legislative Requirement</w:t>
            </w:r>
          </w:p>
        </w:tc>
        <w:tc>
          <w:tcPr>
            <w:tcW w:w="1924" w:type="dxa"/>
          </w:tcPr>
          <w:p w:rsidR="00854550" w:rsidRPr="003D7BE6" w:rsidRDefault="00854550" w:rsidP="003D7BE6">
            <w:pPr>
              <w:pStyle w:val="TableText"/>
              <w:rPr>
                <w:u w:val="single"/>
              </w:rPr>
            </w:pPr>
            <w:r w:rsidRPr="003D7BE6">
              <w:rPr>
                <w:u w:val="single"/>
              </w:rPr>
              <w:t>Amount Issued</w:t>
            </w:r>
          </w:p>
        </w:tc>
        <w:tc>
          <w:tcPr>
            <w:tcW w:w="3193" w:type="dxa"/>
          </w:tcPr>
          <w:p w:rsidR="00854550" w:rsidRPr="003D7BE6" w:rsidRDefault="00854550" w:rsidP="003D7BE6">
            <w:pPr>
              <w:pStyle w:val="TableText"/>
              <w:rPr>
                <w:u w:val="single"/>
              </w:rPr>
            </w:pPr>
            <w:r w:rsidRPr="003D7BE6">
              <w:rPr>
                <w:u w:val="single"/>
              </w:rPr>
              <w:t>Expenditure</w:t>
            </w:r>
          </w:p>
        </w:tc>
      </w:tr>
      <w:tr w:rsidR="00854550" w:rsidRPr="003D7BE6" w:rsidTr="00DC0948">
        <w:tc>
          <w:tcPr>
            <w:tcW w:w="2377" w:type="dxa"/>
          </w:tcPr>
          <w:p w:rsidR="00854550" w:rsidRPr="003D7BE6" w:rsidRDefault="00854550" w:rsidP="003D7BE6">
            <w:pPr>
              <w:pStyle w:val="TableText"/>
            </w:pPr>
          </w:p>
        </w:tc>
        <w:tc>
          <w:tcPr>
            <w:tcW w:w="1828" w:type="dxa"/>
          </w:tcPr>
          <w:p w:rsidR="00854550" w:rsidRPr="003D7BE6" w:rsidRDefault="00854550" w:rsidP="003D7BE6">
            <w:pPr>
              <w:pStyle w:val="TableText"/>
            </w:pPr>
            <w:r w:rsidRPr="003D7BE6">
              <w:t>Unforeseen</w:t>
            </w:r>
          </w:p>
        </w:tc>
        <w:tc>
          <w:tcPr>
            <w:tcW w:w="1924" w:type="dxa"/>
          </w:tcPr>
          <w:p w:rsidR="00854550" w:rsidRPr="003D7BE6" w:rsidRDefault="00854550" w:rsidP="003D7BE6">
            <w:pPr>
              <w:pStyle w:val="TableText"/>
            </w:pPr>
            <w:r w:rsidRPr="003D7BE6">
              <w:t>$</w:t>
            </w:r>
            <w:r w:rsidR="00613E34" w:rsidRPr="003D7BE6">
              <w:t>91,017,000</w:t>
            </w:r>
          </w:p>
        </w:tc>
        <w:tc>
          <w:tcPr>
            <w:tcW w:w="3193" w:type="dxa"/>
          </w:tcPr>
          <w:p w:rsidR="00854550" w:rsidRPr="003D7BE6" w:rsidRDefault="00854550" w:rsidP="003D7BE6">
            <w:pPr>
              <w:pStyle w:val="TableText"/>
            </w:pPr>
            <w:r w:rsidRPr="003D7BE6">
              <w:t>$</w:t>
            </w:r>
            <w:r w:rsidR="00613E34" w:rsidRPr="003D7BE6">
              <w:t>91,017,000</w:t>
            </w:r>
          </w:p>
        </w:tc>
      </w:tr>
    </w:tbl>
    <w:p w:rsidR="00690BE1" w:rsidRDefault="00690BE1" w:rsidP="003D7BE6">
      <w:pPr>
        <w:rPr>
          <w:b/>
          <w:szCs w:val="20"/>
        </w:rPr>
      </w:pPr>
    </w:p>
    <w:p w:rsidR="00C76DBC" w:rsidRPr="003D7BE6" w:rsidRDefault="00C76DBC" w:rsidP="00690BE1">
      <w:pPr>
        <w:pStyle w:val="Heading3"/>
      </w:pPr>
      <w:bookmarkStart w:id="29" w:name="_Toc379748697"/>
      <w:r w:rsidRPr="003D7BE6">
        <w:t>Explanation of Requirement</w:t>
      </w:r>
      <w:bookmarkEnd w:id="29"/>
    </w:p>
    <w:p w:rsidR="00DC0948" w:rsidRDefault="00613E34" w:rsidP="003D7BE6">
      <w:pPr>
        <w:rPr>
          <w:szCs w:val="20"/>
        </w:rPr>
      </w:pPr>
      <w:r w:rsidRPr="003D7BE6">
        <w:rPr>
          <w:szCs w:val="20"/>
        </w:rPr>
        <w:t xml:space="preserve">As part of the 2013-14 Budget, the </w:t>
      </w:r>
      <w:r w:rsidR="00DC0948">
        <w:rPr>
          <w:szCs w:val="20"/>
        </w:rPr>
        <w:t xml:space="preserve">then </w:t>
      </w:r>
      <w:r w:rsidRPr="003D7BE6">
        <w:rPr>
          <w:szCs w:val="20"/>
        </w:rPr>
        <w:t xml:space="preserve">Government sought to ensure continuity of funding for services under the Family Support Program and agreed to </w:t>
      </w:r>
      <w:r w:rsidR="000C4968" w:rsidRPr="003D7BE6">
        <w:rPr>
          <w:szCs w:val="20"/>
        </w:rPr>
        <w:t xml:space="preserve">bring </w:t>
      </w:r>
      <w:r w:rsidR="007E7ABE" w:rsidRPr="003D7BE6">
        <w:rPr>
          <w:szCs w:val="20"/>
        </w:rPr>
        <w:t>forward</w:t>
      </w:r>
      <w:r w:rsidR="005154A0" w:rsidRPr="003D7BE6">
        <w:rPr>
          <w:szCs w:val="20"/>
        </w:rPr>
        <w:t xml:space="preserve"> payments of $91.587 million</w:t>
      </w:r>
      <w:r w:rsidR="007E7ABE" w:rsidRPr="003D7BE6">
        <w:rPr>
          <w:szCs w:val="20"/>
        </w:rPr>
        <w:t xml:space="preserve"> from 2013-14</w:t>
      </w:r>
      <w:r w:rsidR="005154A0" w:rsidRPr="003D7BE6">
        <w:rPr>
          <w:szCs w:val="20"/>
        </w:rPr>
        <w:t xml:space="preserve"> into </w:t>
      </w:r>
      <w:r w:rsidR="00C22C3B">
        <w:rPr>
          <w:szCs w:val="20"/>
        </w:rPr>
        <w:t>2012-13</w:t>
      </w:r>
      <w:r w:rsidR="007E7ABE" w:rsidRPr="003D7BE6">
        <w:rPr>
          <w:szCs w:val="20"/>
        </w:rPr>
        <w:t xml:space="preserve">. </w:t>
      </w:r>
    </w:p>
    <w:p w:rsidR="00C30F2A" w:rsidRDefault="005154A0" w:rsidP="003D7BE6">
      <w:pPr>
        <w:rPr>
          <w:szCs w:val="20"/>
        </w:rPr>
      </w:pPr>
      <w:r w:rsidRPr="003D7BE6">
        <w:rPr>
          <w:szCs w:val="20"/>
        </w:rPr>
        <w:t xml:space="preserve">This </w:t>
      </w:r>
      <w:r w:rsidR="00613E34" w:rsidRPr="003D7BE6">
        <w:rPr>
          <w:szCs w:val="20"/>
        </w:rPr>
        <w:t xml:space="preserve">decision </w:t>
      </w:r>
      <w:r w:rsidR="00963379" w:rsidRPr="003D7BE6">
        <w:rPr>
          <w:szCs w:val="20"/>
        </w:rPr>
        <w:t>enabled</w:t>
      </w:r>
      <w:r w:rsidR="00613E34" w:rsidRPr="003D7BE6">
        <w:rPr>
          <w:szCs w:val="20"/>
        </w:rPr>
        <w:t xml:space="preserve"> the mid-year payment to be executed to service providers in the last week of June 2</w:t>
      </w:r>
      <w:r w:rsidR="007E7ABE" w:rsidRPr="003D7BE6">
        <w:rPr>
          <w:szCs w:val="20"/>
        </w:rPr>
        <w:t xml:space="preserve">013, instead of in July 2013. </w:t>
      </w:r>
      <w:r w:rsidR="00613E34" w:rsidRPr="003D7BE6">
        <w:rPr>
          <w:szCs w:val="20"/>
        </w:rPr>
        <w:t xml:space="preserve">The intention of the early payment </w:t>
      </w:r>
      <w:r w:rsidR="00963379" w:rsidRPr="003D7BE6">
        <w:rPr>
          <w:szCs w:val="20"/>
        </w:rPr>
        <w:t>was</w:t>
      </w:r>
      <w:r w:rsidR="00613E34" w:rsidRPr="003D7BE6">
        <w:rPr>
          <w:szCs w:val="20"/>
        </w:rPr>
        <w:t xml:space="preserve"> to e</w:t>
      </w:r>
      <w:r w:rsidR="00DC0948">
        <w:rPr>
          <w:szCs w:val="20"/>
        </w:rPr>
        <w:t>nsure that service providers had</w:t>
      </w:r>
      <w:r w:rsidR="00613E34" w:rsidRPr="003D7BE6">
        <w:rPr>
          <w:szCs w:val="20"/>
        </w:rPr>
        <w:t xml:space="preserve"> uninterrupted access to core operational funding, particularly in instances where </w:t>
      </w:r>
      <w:r w:rsidR="00C22C3B">
        <w:rPr>
          <w:szCs w:val="20"/>
        </w:rPr>
        <w:t>2012-13</w:t>
      </w:r>
      <w:r w:rsidR="00613E34" w:rsidRPr="003D7BE6">
        <w:rPr>
          <w:szCs w:val="20"/>
        </w:rPr>
        <w:t xml:space="preserve"> funds </w:t>
      </w:r>
      <w:r w:rsidRPr="003D7BE6">
        <w:rPr>
          <w:szCs w:val="20"/>
        </w:rPr>
        <w:t xml:space="preserve">would </w:t>
      </w:r>
      <w:r w:rsidR="00613E34" w:rsidRPr="003D7BE6">
        <w:rPr>
          <w:szCs w:val="20"/>
        </w:rPr>
        <w:t>be fully expended by 30 June 2013</w:t>
      </w:r>
      <w:r w:rsidR="00DC0948">
        <w:rPr>
          <w:szCs w:val="20"/>
        </w:rPr>
        <w:t>.</w:t>
      </w:r>
    </w:p>
    <w:p w:rsidR="009F3DCC" w:rsidRDefault="00F634B4" w:rsidP="003D7BE6">
      <w:pPr>
        <w:rPr>
          <w:szCs w:val="20"/>
        </w:rPr>
      </w:pPr>
      <w:r w:rsidRPr="00F634B4">
        <w:rPr>
          <w:szCs w:val="20"/>
        </w:rPr>
        <w:t xml:space="preserve">FaHCSIA </w:t>
      </w:r>
      <w:r w:rsidR="00D00997" w:rsidRPr="003D7BE6">
        <w:rPr>
          <w:szCs w:val="20"/>
        </w:rPr>
        <w:t>did</w:t>
      </w:r>
      <w:r w:rsidR="00613E34" w:rsidRPr="003D7BE6">
        <w:rPr>
          <w:szCs w:val="20"/>
        </w:rPr>
        <w:t xml:space="preserve"> not have </w:t>
      </w:r>
      <w:r w:rsidR="005154A0" w:rsidRPr="003D7BE6">
        <w:rPr>
          <w:szCs w:val="20"/>
        </w:rPr>
        <w:t xml:space="preserve">sufficient </w:t>
      </w:r>
      <w:r w:rsidR="00C22C3B">
        <w:rPr>
          <w:szCs w:val="20"/>
        </w:rPr>
        <w:t>2012-13</w:t>
      </w:r>
      <w:r w:rsidR="00613E34" w:rsidRPr="003D7BE6">
        <w:rPr>
          <w:szCs w:val="20"/>
        </w:rPr>
        <w:t xml:space="preserve"> funds within </w:t>
      </w:r>
      <w:r w:rsidR="005154A0" w:rsidRPr="003D7BE6">
        <w:rPr>
          <w:szCs w:val="20"/>
        </w:rPr>
        <w:t>Outcome 1</w:t>
      </w:r>
      <w:r w:rsidR="007E7ABE" w:rsidRPr="003D7BE6">
        <w:rPr>
          <w:szCs w:val="20"/>
        </w:rPr>
        <w:t xml:space="preserve"> to cover this amount</w:t>
      </w:r>
      <w:r w:rsidR="005154A0" w:rsidRPr="003D7BE6">
        <w:rPr>
          <w:szCs w:val="20"/>
        </w:rPr>
        <w:t>, with only $570,000 being met from existing resources</w:t>
      </w:r>
      <w:r w:rsidR="007E7ABE" w:rsidRPr="003D7BE6">
        <w:rPr>
          <w:szCs w:val="20"/>
        </w:rPr>
        <w:t xml:space="preserve">. </w:t>
      </w:r>
      <w:r w:rsidR="00613E34" w:rsidRPr="003D7BE6">
        <w:rPr>
          <w:szCs w:val="20"/>
        </w:rPr>
        <w:t xml:space="preserve">Therefore, in the absence of additional </w:t>
      </w:r>
      <w:r w:rsidR="00C22C3B">
        <w:rPr>
          <w:szCs w:val="20"/>
        </w:rPr>
        <w:t>2012-13</w:t>
      </w:r>
      <w:r w:rsidR="00613E34" w:rsidRPr="003D7BE6">
        <w:rPr>
          <w:szCs w:val="20"/>
        </w:rPr>
        <w:t xml:space="preserve"> Appropriation Bills, there </w:t>
      </w:r>
      <w:r w:rsidR="00963379" w:rsidRPr="003D7BE6">
        <w:rPr>
          <w:szCs w:val="20"/>
        </w:rPr>
        <w:t>was</w:t>
      </w:r>
      <w:r w:rsidR="00613E34" w:rsidRPr="003D7BE6">
        <w:rPr>
          <w:szCs w:val="20"/>
        </w:rPr>
        <w:t xml:space="preserve"> a requirement for an </w:t>
      </w:r>
      <w:r w:rsidR="00963379" w:rsidRPr="003D7BE6">
        <w:rPr>
          <w:szCs w:val="20"/>
        </w:rPr>
        <w:t>Advance</w:t>
      </w:r>
      <w:r w:rsidR="00613E34" w:rsidRPr="003D7BE6">
        <w:rPr>
          <w:szCs w:val="20"/>
        </w:rPr>
        <w:t xml:space="preserve"> of $91.017 million</w:t>
      </w:r>
      <w:r w:rsidR="009F3DCC" w:rsidRPr="003D7BE6">
        <w:rPr>
          <w:szCs w:val="20"/>
        </w:rPr>
        <w:t>.</w:t>
      </w:r>
    </w:p>
    <w:p w:rsidR="005C0CA9" w:rsidRDefault="005C0CA9">
      <w:pPr>
        <w:spacing w:after="0"/>
        <w:rPr>
          <w:szCs w:val="20"/>
        </w:rPr>
      </w:pPr>
      <w:r>
        <w:rPr>
          <w:szCs w:val="20"/>
        </w:rPr>
        <w:br w:type="page"/>
      </w:r>
    </w:p>
    <w:p w:rsidR="00690BE1" w:rsidRPr="00C9348B" w:rsidRDefault="00690BE1" w:rsidP="00E433EE">
      <w:pPr>
        <w:pStyle w:val="Heading2"/>
        <w:ind w:left="2268" w:hanging="2268"/>
      </w:pPr>
      <w:bookmarkStart w:id="30" w:name="_Toc379748698"/>
      <w:proofErr w:type="gramStart"/>
      <w:r>
        <w:lastRenderedPageBreak/>
        <w:t xml:space="preserve">AFM </w:t>
      </w:r>
      <w:r w:rsidRPr="003D7BE6">
        <w:t>No.</w:t>
      </w:r>
      <w:proofErr w:type="gramEnd"/>
      <w:r w:rsidRPr="003D7BE6">
        <w:t xml:space="preserve"> </w:t>
      </w:r>
      <w:r>
        <w:t xml:space="preserve">4: </w:t>
      </w:r>
      <w:r w:rsidR="008911A8">
        <w:tab/>
      </w:r>
      <w:r w:rsidRPr="003D7BE6">
        <w:t>Health</w:t>
      </w:r>
      <w:r>
        <w:t>, Outcomes 10 and 14</w:t>
      </w:r>
      <w:bookmarkEnd w:id="30"/>
    </w:p>
    <w:tbl>
      <w:tblPr>
        <w:tblW w:w="9464" w:type="dxa"/>
        <w:tblLayout w:type="fixed"/>
        <w:tblLook w:val="0000"/>
      </w:tblPr>
      <w:tblGrid>
        <w:gridCol w:w="2376"/>
        <w:gridCol w:w="29"/>
        <w:gridCol w:w="1769"/>
        <w:gridCol w:w="1746"/>
        <w:gridCol w:w="1701"/>
        <w:gridCol w:w="1559"/>
        <w:gridCol w:w="284"/>
      </w:tblGrid>
      <w:tr w:rsidR="009F3DCC" w:rsidRPr="003D7BE6" w:rsidTr="00DC0948">
        <w:trPr>
          <w:gridAfter w:val="1"/>
          <w:wAfter w:w="284" w:type="dxa"/>
          <w:trHeight w:val="439"/>
        </w:trPr>
        <w:tc>
          <w:tcPr>
            <w:tcW w:w="2376" w:type="dxa"/>
          </w:tcPr>
          <w:p w:rsidR="009F3DCC" w:rsidRPr="003D7BE6" w:rsidRDefault="009F3DCC" w:rsidP="00C30F2A">
            <w:pPr>
              <w:pStyle w:val="TableText"/>
              <w:rPr>
                <w:b/>
                <w:snapToGrid w:val="0"/>
              </w:rPr>
            </w:pPr>
            <w:r w:rsidRPr="003D7BE6">
              <w:rPr>
                <w:b/>
                <w:snapToGrid w:val="0"/>
              </w:rPr>
              <w:t xml:space="preserve">Legislative Instrument </w:t>
            </w:r>
          </w:p>
        </w:tc>
        <w:tc>
          <w:tcPr>
            <w:tcW w:w="6804" w:type="dxa"/>
            <w:gridSpan w:val="5"/>
          </w:tcPr>
          <w:p w:rsidR="009F3DCC" w:rsidRPr="003D7BE6" w:rsidRDefault="00613E34" w:rsidP="00DC0948">
            <w:pPr>
              <w:pStyle w:val="TableText"/>
            </w:pPr>
            <w:r w:rsidRPr="003D7BE6">
              <w:t>F2013L01211</w:t>
            </w:r>
            <w:r w:rsidR="009F3DCC" w:rsidRPr="003D7BE6">
              <w:t xml:space="preserve">, Advance to the Finance Minister — Section 13 of </w:t>
            </w:r>
            <w:r w:rsidR="009F3DCC" w:rsidRPr="003D7BE6">
              <w:rPr>
                <w:i/>
              </w:rPr>
              <w:t>Appropriation Act (No. 1) 20</w:t>
            </w:r>
            <w:r w:rsidR="00A949D1" w:rsidRPr="003D7BE6">
              <w:rPr>
                <w:i/>
              </w:rPr>
              <w:t>12</w:t>
            </w:r>
            <w:r w:rsidR="009F3DCC" w:rsidRPr="003D7BE6">
              <w:rPr>
                <w:i/>
              </w:rPr>
              <w:noBreakHyphen/>
              <w:t>201</w:t>
            </w:r>
            <w:r w:rsidR="00A949D1" w:rsidRPr="003D7BE6">
              <w:rPr>
                <w:i/>
              </w:rPr>
              <w:t>3</w:t>
            </w:r>
          </w:p>
        </w:tc>
      </w:tr>
      <w:tr w:rsidR="009F3DCC" w:rsidRPr="003D7BE6" w:rsidTr="00DC0948">
        <w:trPr>
          <w:gridAfter w:val="1"/>
          <w:wAfter w:w="284" w:type="dxa"/>
          <w:trHeight w:val="439"/>
        </w:trPr>
        <w:tc>
          <w:tcPr>
            <w:tcW w:w="2376" w:type="dxa"/>
          </w:tcPr>
          <w:p w:rsidR="009F3DCC" w:rsidRPr="003D7BE6" w:rsidRDefault="00C30F2A" w:rsidP="003D7BE6">
            <w:pPr>
              <w:pStyle w:val="TableText"/>
              <w:rPr>
                <w:b/>
                <w:snapToGrid w:val="0"/>
              </w:rPr>
            </w:pPr>
            <w:r>
              <w:rPr>
                <w:b/>
                <w:snapToGrid w:val="0"/>
              </w:rPr>
              <w:t>Sequence</w:t>
            </w:r>
          </w:p>
        </w:tc>
        <w:tc>
          <w:tcPr>
            <w:tcW w:w="6804" w:type="dxa"/>
            <w:gridSpan w:val="5"/>
          </w:tcPr>
          <w:p w:rsidR="009F3DCC" w:rsidRPr="003D7BE6" w:rsidRDefault="00613E34" w:rsidP="003D7BE6">
            <w:pPr>
              <w:pStyle w:val="TableText"/>
            </w:pPr>
            <w:r w:rsidRPr="003D7BE6">
              <w:t>No. 4</w:t>
            </w:r>
            <w:r w:rsidR="00A949D1" w:rsidRPr="003D7BE6">
              <w:t xml:space="preserve"> of </w:t>
            </w:r>
            <w:r w:rsidR="00C22C3B">
              <w:t>2012-13</w:t>
            </w:r>
            <w:r w:rsidR="005C0CA9">
              <w:t xml:space="preserve">, </w:t>
            </w:r>
            <w:r w:rsidR="005C0CA9" w:rsidRPr="003D7BE6">
              <w:t>27 June 2013</w:t>
            </w:r>
          </w:p>
        </w:tc>
      </w:tr>
      <w:tr w:rsidR="009F3DCC" w:rsidRPr="003D7BE6" w:rsidTr="00DC0948">
        <w:trPr>
          <w:gridAfter w:val="1"/>
          <w:wAfter w:w="284" w:type="dxa"/>
          <w:trHeight w:val="439"/>
        </w:trPr>
        <w:tc>
          <w:tcPr>
            <w:tcW w:w="2376" w:type="dxa"/>
          </w:tcPr>
          <w:p w:rsidR="009F3DCC" w:rsidRPr="003D7BE6" w:rsidRDefault="009F3DCC" w:rsidP="003D7BE6">
            <w:pPr>
              <w:pStyle w:val="TableText"/>
              <w:rPr>
                <w:b/>
              </w:rPr>
            </w:pPr>
            <w:r w:rsidRPr="003D7BE6">
              <w:rPr>
                <w:b/>
                <w:snapToGrid w:val="0"/>
              </w:rPr>
              <w:t>Portfolio</w:t>
            </w:r>
          </w:p>
        </w:tc>
        <w:tc>
          <w:tcPr>
            <w:tcW w:w="6804" w:type="dxa"/>
            <w:gridSpan w:val="5"/>
          </w:tcPr>
          <w:p w:rsidR="009F3DCC" w:rsidRPr="003D7BE6" w:rsidRDefault="00613E34" w:rsidP="003D7BE6">
            <w:pPr>
              <w:pStyle w:val="TableText"/>
            </w:pPr>
            <w:r w:rsidRPr="003D7BE6">
              <w:t>Health and Ageing</w:t>
            </w:r>
          </w:p>
        </w:tc>
      </w:tr>
      <w:tr w:rsidR="009F3DCC" w:rsidRPr="003D7BE6" w:rsidTr="00DC0948">
        <w:trPr>
          <w:gridAfter w:val="1"/>
          <w:wAfter w:w="284" w:type="dxa"/>
          <w:trHeight w:val="439"/>
        </w:trPr>
        <w:tc>
          <w:tcPr>
            <w:tcW w:w="2376" w:type="dxa"/>
          </w:tcPr>
          <w:p w:rsidR="009F3DCC" w:rsidRPr="003D7BE6" w:rsidRDefault="009F3DCC" w:rsidP="003D7BE6">
            <w:pPr>
              <w:pStyle w:val="TableText"/>
              <w:rPr>
                <w:b/>
              </w:rPr>
            </w:pPr>
            <w:r w:rsidRPr="003D7BE6">
              <w:rPr>
                <w:b/>
                <w:snapToGrid w:val="0"/>
              </w:rPr>
              <w:t>Agency</w:t>
            </w:r>
          </w:p>
        </w:tc>
        <w:tc>
          <w:tcPr>
            <w:tcW w:w="6804" w:type="dxa"/>
            <w:gridSpan w:val="5"/>
          </w:tcPr>
          <w:p w:rsidR="009F3DCC" w:rsidRPr="003D7BE6" w:rsidRDefault="009F3DCC" w:rsidP="003D7BE6">
            <w:pPr>
              <w:pStyle w:val="TableText"/>
            </w:pPr>
            <w:r w:rsidRPr="003D7BE6">
              <w:t>Department of</w:t>
            </w:r>
            <w:r w:rsidR="00613E34" w:rsidRPr="003D7BE6">
              <w:t xml:space="preserve"> Health and Ageing</w:t>
            </w:r>
            <w:r w:rsidR="00F634B4">
              <w:t xml:space="preserve"> (Health)</w:t>
            </w:r>
          </w:p>
        </w:tc>
      </w:tr>
      <w:tr w:rsidR="009F3DCC" w:rsidRPr="003D7BE6" w:rsidTr="00DC0948">
        <w:trPr>
          <w:gridAfter w:val="1"/>
          <w:wAfter w:w="284" w:type="dxa"/>
          <w:trHeight w:val="439"/>
        </w:trPr>
        <w:tc>
          <w:tcPr>
            <w:tcW w:w="2376" w:type="dxa"/>
          </w:tcPr>
          <w:p w:rsidR="009F3DCC" w:rsidRPr="003D7BE6" w:rsidRDefault="009F3DCC" w:rsidP="003D7BE6">
            <w:pPr>
              <w:pStyle w:val="TableText"/>
              <w:rPr>
                <w:b/>
              </w:rPr>
            </w:pPr>
            <w:r w:rsidRPr="003D7BE6">
              <w:rPr>
                <w:b/>
              </w:rPr>
              <w:t>Appropriation Item</w:t>
            </w:r>
          </w:p>
        </w:tc>
        <w:tc>
          <w:tcPr>
            <w:tcW w:w="6804" w:type="dxa"/>
            <w:gridSpan w:val="5"/>
          </w:tcPr>
          <w:p w:rsidR="009F3DCC" w:rsidRPr="003D7BE6" w:rsidRDefault="009F3DCC" w:rsidP="003D7BE6">
            <w:pPr>
              <w:pStyle w:val="TableText"/>
            </w:pPr>
            <w:r w:rsidRPr="003D7BE6">
              <w:t xml:space="preserve">Administered Item, Outcome </w:t>
            </w:r>
            <w:r w:rsidR="00613E34" w:rsidRPr="003D7BE6">
              <w:t>10</w:t>
            </w:r>
          </w:p>
        </w:tc>
      </w:tr>
      <w:tr w:rsidR="009F3DCC" w:rsidRPr="003D7BE6" w:rsidTr="00DC0948">
        <w:trPr>
          <w:gridAfter w:val="1"/>
          <w:wAfter w:w="284" w:type="dxa"/>
          <w:trHeight w:val="439"/>
        </w:trPr>
        <w:tc>
          <w:tcPr>
            <w:tcW w:w="2376" w:type="dxa"/>
          </w:tcPr>
          <w:p w:rsidR="009F3DCC" w:rsidRPr="003D7BE6" w:rsidRDefault="009F3DCC" w:rsidP="003D7BE6">
            <w:pPr>
              <w:pStyle w:val="TableText"/>
              <w:rPr>
                <w:b/>
              </w:rPr>
            </w:pPr>
            <w:r w:rsidRPr="003D7BE6">
              <w:rPr>
                <w:b/>
              </w:rPr>
              <w:t>Outcome</w:t>
            </w:r>
            <w:r w:rsidR="00DA00F1">
              <w:rPr>
                <w:b/>
              </w:rPr>
              <w:t xml:space="preserve"> text</w:t>
            </w:r>
          </w:p>
        </w:tc>
        <w:tc>
          <w:tcPr>
            <w:tcW w:w="6804" w:type="dxa"/>
            <w:gridSpan w:val="5"/>
          </w:tcPr>
          <w:p w:rsidR="009F3DCC" w:rsidRPr="003D7BE6" w:rsidRDefault="00613E34" w:rsidP="003D7BE6">
            <w:pPr>
              <w:pStyle w:val="TableText"/>
              <w:rPr>
                <w:szCs w:val="20"/>
              </w:rPr>
            </w:pPr>
            <w:r w:rsidRPr="003D7BE6">
              <w:rPr>
                <w:szCs w:val="20"/>
              </w:rPr>
              <w:t xml:space="preserve">Health System Capacity and Quality - </w:t>
            </w:r>
            <w:r w:rsidRPr="003D7BE6">
              <w:rPr>
                <w:lang w:eastAsia="en-AU"/>
              </w:rPr>
              <w:t>Improved long</w:t>
            </w:r>
            <w:r w:rsidRPr="003D7BE6">
              <w:rPr>
                <w:lang w:eastAsia="en-AU"/>
              </w:rPr>
              <w:noBreakHyphen/>
              <w:t>term capacity, quality and safety of Australia’s health care system to meet future health needs, including through investment in health infrastructure, international engagement, consistent performance reporting and research</w:t>
            </w:r>
          </w:p>
        </w:tc>
      </w:tr>
      <w:tr w:rsidR="009F3DCC" w:rsidRPr="003D7BE6" w:rsidTr="00DC0948">
        <w:trPr>
          <w:gridAfter w:val="1"/>
          <w:wAfter w:w="284" w:type="dxa"/>
          <w:trHeight w:val="439"/>
        </w:trPr>
        <w:tc>
          <w:tcPr>
            <w:tcW w:w="2376" w:type="dxa"/>
          </w:tcPr>
          <w:p w:rsidR="009F3DCC" w:rsidRPr="003D7BE6" w:rsidRDefault="009F3DCC" w:rsidP="003D7BE6">
            <w:pPr>
              <w:pStyle w:val="TableText"/>
              <w:rPr>
                <w:b/>
              </w:rPr>
            </w:pPr>
            <w:r w:rsidRPr="003D7BE6">
              <w:rPr>
                <w:b/>
              </w:rPr>
              <w:t>Program</w:t>
            </w:r>
          </w:p>
        </w:tc>
        <w:tc>
          <w:tcPr>
            <w:tcW w:w="6804" w:type="dxa"/>
            <w:gridSpan w:val="5"/>
          </w:tcPr>
          <w:p w:rsidR="009F3DCC" w:rsidRPr="003D7BE6" w:rsidRDefault="00D22214" w:rsidP="003D7BE6">
            <w:pPr>
              <w:pStyle w:val="TableText"/>
            </w:pPr>
            <w:r w:rsidRPr="003D7BE6">
              <w:t>Health Infrastructure</w:t>
            </w:r>
          </w:p>
        </w:tc>
      </w:tr>
      <w:tr w:rsidR="00DA00F1" w:rsidRPr="003D7BE6" w:rsidTr="007A5D1D">
        <w:tblPrEx>
          <w:tblLook w:val="04A0"/>
        </w:tblPrEx>
        <w:tc>
          <w:tcPr>
            <w:tcW w:w="2405" w:type="dxa"/>
            <w:gridSpan w:val="2"/>
          </w:tcPr>
          <w:p w:rsidR="00DA00F1" w:rsidRPr="00DC0948" w:rsidRDefault="00DA00F1" w:rsidP="007A5D1D">
            <w:pPr>
              <w:pStyle w:val="TableText"/>
            </w:pPr>
          </w:p>
        </w:tc>
        <w:tc>
          <w:tcPr>
            <w:tcW w:w="1769" w:type="dxa"/>
          </w:tcPr>
          <w:p w:rsidR="00DA00F1" w:rsidRPr="00DC0948" w:rsidRDefault="00DA00F1" w:rsidP="007A5D1D">
            <w:pPr>
              <w:pStyle w:val="TableText"/>
            </w:pPr>
            <w:r w:rsidRPr="00DC0948">
              <w:t>Legislative Requirement</w:t>
            </w:r>
          </w:p>
        </w:tc>
        <w:tc>
          <w:tcPr>
            <w:tcW w:w="1746" w:type="dxa"/>
          </w:tcPr>
          <w:p w:rsidR="00DA00F1" w:rsidRPr="00DA00F1" w:rsidRDefault="00DA00F1" w:rsidP="007A5D1D">
            <w:pPr>
              <w:pStyle w:val="TableText"/>
              <w:rPr>
                <w:u w:val="single"/>
              </w:rPr>
            </w:pPr>
            <w:r w:rsidRPr="00DA00F1">
              <w:rPr>
                <w:u w:val="single"/>
              </w:rPr>
              <w:t>Amount Issued</w:t>
            </w:r>
          </w:p>
        </w:tc>
        <w:tc>
          <w:tcPr>
            <w:tcW w:w="1701" w:type="dxa"/>
          </w:tcPr>
          <w:p w:rsidR="00DA00F1" w:rsidRPr="00DA00F1" w:rsidRDefault="00DA00F1" w:rsidP="007A5D1D">
            <w:pPr>
              <w:pStyle w:val="TableText"/>
              <w:rPr>
                <w:u w:val="single"/>
              </w:rPr>
            </w:pPr>
            <w:r w:rsidRPr="00DA00F1">
              <w:rPr>
                <w:u w:val="single"/>
              </w:rPr>
              <w:t>Expenditure</w:t>
            </w:r>
          </w:p>
        </w:tc>
        <w:tc>
          <w:tcPr>
            <w:tcW w:w="1843" w:type="dxa"/>
            <w:gridSpan w:val="2"/>
          </w:tcPr>
          <w:p w:rsidR="00DA00F1" w:rsidRPr="00DA00F1" w:rsidRDefault="00DA00F1" w:rsidP="007A5D1D">
            <w:pPr>
              <w:pStyle w:val="TableText"/>
              <w:rPr>
                <w:u w:val="single"/>
              </w:rPr>
            </w:pPr>
            <w:r w:rsidRPr="00DA00F1">
              <w:rPr>
                <w:u w:val="single"/>
              </w:rPr>
              <w:t>Underspend</w:t>
            </w:r>
          </w:p>
        </w:tc>
      </w:tr>
      <w:tr w:rsidR="00DA00F1" w:rsidRPr="003D7BE6" w:rsidTr="007A5D1D">
        <w:tblPrEx>
          <w:tblLook w:val="04A0"/>
        </w:tblPrEx>
        <w:tc>
          <w:tcPr>
            <w:tcW w:w="2405" w:type="dxa"/>
            <w:gridSpan w:val="2"/>
          </w:tcPr>
          <w:p w:rsidR="00DA00F1" w:rsidRPr="003D7BE6" w:rsidRDefault="00DA00F1" w:rsidP="007A5D1D">
            <w:pPr>
              <w:pStyle w:val="TableText"/>
            </w:pPr>
          </w:p>
        </w:tc>
        <w:tc>
          <w:tcPr>
            <w:tcW w:w="1769" w:type="dxa"/>
          </w:tcPr>
          <w:p w:rsidR="00DA00F1" w:rsidRPr="003D7BE6" w:rsidRDefault="00DA00F1" w:rsidP="007A5D1D">
            <w:pPr>
              <w:pStyle w:val="TableText"/>
            </w:pPr>
            <w:r w:rsidRPr="003D7BE6">
              <w:t>Unforeseen</w:t>
            </w:r>
          </w:p>
        </w:tc>
        <w:tc>
          <w:tcPr>
            <w:tcW w:w="1746" w:type="dxa"/>
          </w:tcPr>
          <w:p w:rsidR="00DA00F1" w:rsidRPr="003D7BE6" w:rsidRDefault="00DA00F1" w:rsidP="007A5D1D">
            <w:pPr>
              <w:pStyle w:val="TableText"/>
            </w:pPr>
            <w:r w:rsidRPr="003D7BE6">
              <w:t>$12,500,000</w:t>
            </w:r>
          </w:p>
        </w:tc>
        <w:tc>
          <w:tcPr>
            <w:tcW w:w="1701" w:type="dxa"/>
          </w:tcPr>
          <w:p w:rsidR="00DA00F1" w:rsidRPr="003D7BE6" w:rsidRDefault="00DA00F1" w:rsidP="007A5D1D">
            <w:pPr>
              <w:pStyle w:val="TableText"/>
            </w:pPr>
            <w:r w:rsidRPr="003D7BE6">
              <w:t>$12,000,000</w:t>
            </w:r>
          </w:p>
        </w:tc>
        <w:tc>
          <w:tcPr>
            <w:tcW w:w="1843" w:type="dxa"/>
            <w:gridSpan w:val="2"/>
          </w:tcPr>
          <w:p w:rsidR="00DA00F1" w:rsidRPr="003D7BE6" w:rsidRDefault="00DA00F1" w:rsidP="00DA00F1">
            <w:pPr>
              <w:pStyle w:val="TableText"/>
            </w:pPr>
            <w:r>
              <w:t>$500,000</w:t>
            </w:r>
          </w:p>
        </w:tc>
      </w:tr>
      <w:tr w:rsidR="005C0CA9" w:rsidRPr="003D7BE6" w:rsidTr="00DC0948">
        <w:trPr>
          <w:gridAfter w:val="1"/>
          <w:wAfter w:w="284" w:type="dxa"/>
          <w:trHeight w:val="439"/>
        </w:trPr>
        <w:tc>
          <w:tcPr>
            <w:tcW w:w="2376" w:type="dxa"/>
          </w:tcPr>
          <w:p w:rsidR="005C0CA9" w:rsidRPr="003D7BE6" w:rsidRDefault="005C0CA9" w:rsidP="008C1F3B">
            <w:pPr>
              <w:pStyle w:val="TableText"/>
              <w:rPr>
                <w:b/>
              </w:rPr>
            </w:pPr>
            <w:r w:rsidRPr="003D7BE6">
              <w:rPr>
                <w:b/>
              </w:rPr>
              <w:t>Appropriation Item</w:t>
            </w:r>
          </w:p>
        </w:tc>
        <w:tc>
          <w:tcPr>
            <w:tcW w:w="6804" w:type="dxa"/>
            <w:gridSpan w:val="5"/>
          </w:tcPr>
          <w:p w:rsidR="005C0CA9" w:rsidRPr="003D7BE6" w:rsidRDefault="005C0CA9" w:rsidP="008C1F3B">
            <w:pPr>
              <w:pStyle w:val="TableText"/>
            </w:pPr>
            <w:r w:rsidRPr="003D7BE6">
              <w:t>Administered Item, Outcome 14</w:t>
            </w:r>
          </w:p>
        </w:tc>
      </w:tr>
      <w:tr w:rsidR="005C0CA9" w:rsidRPr="003D7BE6" w:rsidTr="00DC0948">
        <w:trPr>
          <w:gridAfter w:val="1"/>
          <w:wAfter w:w="284" w:type="dxa"/>
          <w:trHeight w:val="439"/>
        </w:trPr>
        <w:tc>
          <w:tcPr>
            <w:tcW w:w="2376" w:type="dxa"/>
          </w:tcPr>
          <w:p w:rsidR="005C0CA9" w:rsidRPr="003D7BE6" w:rsidRDefault="005C0CA9" w:rsidP="008C1F3B">
            <w:pPr>
              <w:pStyle w:val="TableText"/>
              <w:rPr>
                <w:b/>
              </w:rPr>
            </w:pPr>
            <w:r w:rsidRPr="003D7BE6">
              <w:rPr>
                <w:b/>
              </w:rPr>
              <w:t>Outcome</w:t>
            </w:r>
            <w:r w:rsidR="00DA00F1">
              <w:rPr>
                <w:b/>
              </w:rPr>
              <w:t xml:space="preserve"> text</w:t>
            </w:r>
          </w:p>
        </w:tc>
        <w:tc>
          <w:tcPr>
            <w:tcW w:w="6804" w:type="dxa"/>
            <w:gridSpan w:val="5"/>
          </w:tcPr>
          <w:p w:rsidR="005C0CA9" w:rsidRPr="003D7BE6" w:rsidRDefault="005C0CA9" w:rsidP="008C1F3B">
            <w:pPr>
              <w:pStyle w:val="TableText"/>
              <w:rPr>
                <w:szCs w:val="20"/>
              </w:rPr>
            </w:pPr>
            <w:proofErr w:type="spellStart"/>
            <w:r w:rsidRPr="003D7BE6">
              <w:rPr>
                <w:szCs w:val="20"/>
              </w:rPr>
              <w:t>Biosecurity</w:t>
            </w:r>
            <w:proofErr w:type="spellEnd"/>
            <w:r w:rsidRPr="003D7BE6">
              <w:rPr>
                <w:szCs w:val="20"/>
              </w:rPr>
              <w:t xml:space="preserve"> and Emergency Response - </w:t>
            </w:r>
            <w:r w:rsidRPr="003D7BE6">
              <w:rPr>
                <w:lang w:eastAsia="en-AU"/>
              </w:rPr>
              <w:t>Preparedness to respond to national health emergencies and risks, including through surveillance, regulation, prevention, detection and leadership in national health coordination</w:t>
            </w:r>
          </w:p>
        </w:tc>
      </w:tr>
      <w:tr w:rsidR="005C0CA9" w:rsidRPr="003D7BE6" w:rsidTr="00DC0948">
        <w:trPr>
          <w:gridAfter w:val="1"/>
          <w:wAfter w:w="284" w:type="dxa"/>
          <w:trHeight w:val="439"/>
        </w:trPr>
        <w:tc>
          <w:tcPr>
            <w:tcW w:w="2376" w:type="dxa"/>
          </w:tcPr>
          <w:p w:rsidR="005C0CA9" w:rsidRPr="003D7BE6" w:rsidRDefault="005C0CA9" w:rsidP="008C1F3B">
            <w:pPr>
              <w:pStyle w:val="TableText"/>
              <w:rPr>
                <w:b/>
              </w:rPr>
            </w:pPr>
            <w:r w:rsidRPr="003D7BE6">
              <w:rPr>
                <w:b/>
              </w:rPr>
              <w:t>Program</w:t>
            </w:r>
          </w:p>
        </w:tc>
        <w:tc>
          <w:tcPr>
            <w:tcW w:w="6804" w:type="dxa"/>
            <w:gridSpan w:val="5"/>
          </w:tcPr>
          <w:p w:rsidR="005C0CA9" w:rsidRPr="003D7BE6" w:rsidRDefault="005C0CA9" w:rsidP="008C1F3B">
            <w:pPr>
              <w:pStyle w:val="TableText"/>
            </w:pPr>
            <w:r w:rsidRPr="003D7BE6">
              <w:t>Health Emergency Planning and Response</w:t>
            </w:r>
          </w:p>
        </w:tc>
      </w:tr>
      <w:tr w:rsidR="00DC0948" w:rsidRPr="003D7BE6" w:rsidTr="00DC0948">
        <w:tblPrEx>
          <w:tblLook w:val="04A0"/>
        </w:tblPrEx>
        <w:tc>
          <w:tcPr>
            <w:tcW w:w="2405" w:type="dxa"/>
            <w:gridSpan w:val="2"/>
          </w:tcPr>
          <w:p w:rsidR="00DC0948" w:rsidRPr="003D7BE6" w:rsidRDefault="00DC0948" w:rsidP="007A5D1D">
            <w:pPr>
              <w:pStyle w:val="TableText"/>
              <w:rPr>
                <w:u w:val="single"/>
              </w:rPr>
            </w:pPr>
          </w:p>
        </w:tc>
        <w:tc>
          <w:tcPr>
            <w:tcW w:w="1769" w:type="dxa"/>
          </w:tcPr>
          <w:p w:rsidR="00DC0948" w:rsidRPr="003D7BE6" w:rsidRDefault="00DC0948" w:rsidP="007A5D1D">
            <w:pPr>
              <w:pStyle w:val="TableText"/>
              <w:rPr>
                <w:u w:val="single"/>
              </w:rPr>
            </w:pPr>
            <w:r w:rsidRPr="003D7BE6">
              <w:rPr>
                <w:u w:val="single"/>
              </w:rPr>
              <w:t>Legislative Requirement</w:t>
            </w:r>
          </w:p>
        </w:tc>
        <w:tc>
          <w:tcPr>
            <w:tcW w:w="1746" w:type="dxa"/>
          </w:tcPr>
          <w:p w:rsidR="00DC0948" w:rsidRPr="003D7BE6" w:rsidRDefault="00DC0948" w:rsidP="007A5D1D">
            <w:pPr>
              <w:pStyle w:val="TableText"/>
              <w:rPr>
                <w:u w:val="single"/>
              </w:rPr>
            </w:pPr>
            <w:r w:rsidRPr="003D7BE6">
              <w:rPr>
                <w:u w:val="single"/>
              </w:rPr>
              <w:t>Amount Issued</w:t>
            </w:r>
          </w:p>
        </w:tc>
        <w:tc>
          <w:tcPr>
            <w:tcW w:w="1701" w:type="dxa"/>
          </w:tcPr>
          <w:p w:rsidR="00DC0948" w:rsidRPr="003D7BE6" w:rsidRDefault="00DC0948" w:rsidP="007A5D1D">
            <w:pPr>
              <w:pStyle w:val="TableText"/>
              <w:rPr>
                <w:u w:val="single"/>
              </w:rPr>
            </w:pPr>
            <w:r w:rsidRPr="003D7BE6">
              <w:rPr>
                <w:u w:val="single"/>
              </w:rPr>
              <w:t>Expenditure</w:t>
            </w:r>
          </w:p>
        </w:tc>
        <w:tc>
          <w:tcPr>
            <w:tcW w:w="1843" w:type="dxa"/>
            <w:gridSpan w:val="2"/>
          </w:tcPr>
          <w:p w:rsidR="00DC0948" w:rsidRPr="003D7BE6" w:rsidRDefault="00DC0948" w:rsidP="007A5D1D">
            <w:pPr>
              <w:pStyle w:val="TableText"/>
              <w:rPr>
                <w:u w:val="single"/>
              </w:rPr>
            </w:pPr>
            <w:r>
              <w:rPr>
                <w:u w:val="single"/>
              </w:rPr>
              <w:t>Underspend</w:t>
            </w:r>
          </w:p>
        </w:tc>
      </w:tr>
      <w:tr w:rsidR="00DC0948" w:rsidRPr="003D7BE6" w:rsidTr="00DC0948">
        <w:tblPrEx>
          <w:tblLook w:val="04A0"/>
        </w:tblPrEx>
        <w:tc>
          <w:tcPr>
            <w:tcW w:w="2405" w:type="dxa"/>
            <w:gridSpan w:val="2"/>
          </w:tcPr>
          <w:p w:rsidR="00DC0948" w:rsidRPr="003D7BE6" w:rsidRDefault="00DC0948" w:rsidP="007A5D1D">
            <w:pPr>
              <w:pStyle w:val="TableText"/>
            </w:pPr>
          </w:p>
        </w:tc>
        <w:tc>
          <w:tcPr>
            <w:tcW w:w="1769" w:type="dxa"/>
          </w:tcPr>
          <w:p w:rsidR="00DC0948" w:rsidRPr="003D7BE6" w:rsidRDefault="00DC0948" w:rsidP="007A5D1D">
            <w:pPr>
              <w:pStyle w:val="TableText"/>
            </w:pPr>
            <w:r w:rsidRPr="003D7BE6">
              <w:t>Unforeseen</w:t>
            </w:r>
          </w:p>
        </w:tc>
        <w:tc>
          <w:tcPr>
            <w:tcW w:w="1746" w:type="dxa"/>
          </w:tcPr>
          <w:p w:rsidR="00DC0948" w:rsidRPr="003D7BE6" w:rsidRDefault="00DC0948" w:rsidP="00DC0948">
            <w:pPr>
              <w:pStyle w:val="TableText"/>
            </w:pPr>
            <w:r w:rsidRPr="003D7BE6">
              <w:t>$2,200,000.00</w:t>
            </w:r>
          </w:p>
        </w:tc>
        <w:tc>
          <w:tcPr>
            <w:tcW w:w="1701" w:type="dxa"/>
          </w:tcPr>
          <w:p w:rsidR="00DC0948" w:rsidRPr="003D7BE6" w:rsidRDefault="00DC0948" w:rsidP="007A5D1D">
            <w:pPr>
              <w:pStyle w:val="TableText"/>
            </w:pPr>
            <w:r w:rsidRPr="003D7BE6">
              <w:t>$2,040,247.97</w:t>
            </w:r>
          </w:p>
        </w:tc>
        <w:tc>
          <w:tcPr>
            <w:tcW w:w="1843" w:type="dxa"/>
            <w:gridSpan w:val="2"/>
          </w:tcPr>
          <w:p w:rsidR="00DC0948" w:rsidRPr="003D7BE6" w:rsidRDefault="00DC0948" w:rsidP="00DA00F1">
            <w:pPr>
              <w:pStyle w:val="TableText"/>
            </w:pPr>
            <w:r>
              <w:t>$</w:t>
            </w:r>
            <w:r w:rsidR="00DA00F1">
              <w:t>159,752.03</w:t>
            </w:r>
          </w:p>
        </w:tc>
      </w:tr>
    </w:tbl>
    <w:p w:rsidR="00690BE1" w:rsidRDefault="00690BE1" w:rsidP="00690BE1"/>
    <w:p w:rsidR="00C76DBC" w:rsidRPr="003D7BE6" w:rsidRDefault="00C76DBC" w:rsidP="00690BE1">
      <w:pPr>
        <w:pStyle w:val="Heading3"/>
      </w:pPr>
      <w:bookmarkStart w:id="31" w:name="_Toc379748699"/>
      <w:r w:rsidRPr="003D7BE6">
        <w:t>Explanation of Requirement</w:t>
      </w:r>
      <w:r w:rsidR="005C0CA9">
        <w:t>: Outcome 10</w:t>
      </w:r>
      <w:bookmarkEnd w:id="31"/>
    </w:p>
    <w:p w:rsidR="00A949D1" w:rsidRPr="003D7BE6" w:rsidRDefault="00DA00F1" w:rsidP="003D7BE6">
      <w:pPr>
        <w:spacing w:before="240"/>
        <w:rPr>
          <w:snapToGrid w:val="0"/>
          <w:szCs w:val="20"/>
        </w:rPr>
      </w:pPr>
      <w:r>
        <w:rPr>
          <w:snapToGrid w:val="0"/>
          <w:szCs w:val="20"/>
        </w:rPr>
        <w:t xml:space="preserve">This requirement had two components. First, the then </w:t>
      </w:r>
      <w:r w:rsidR="00F46695" w:rsidRPr="003D7BE6">
        <w:rPr>
          <w:lang w:eastAsia="en-AU"/>
        </w:rPr>
        <w:t>Government agreed to provide</w:t>
      </w:r>
      <w:r w:rsidR="00C34733" w:rsidRPr="003D7BE6">
        <w:rPr>
          <w:lang w:eastAsia="en-AU"/>
        </w:rPr>
        <w:t xml:space="preserve"> a</w:t>
      </w:r>
      <w:r w:rsidR="00F46695" w:rsidRPr="003D7BE6">
        <w:rPr>
          <w:lang w:eastAsia="en-AU"/>
        </w:rPr>
        <w:t xml:space="preserve"> $12</w:t>
      </w:r>
      <w:r w:rsidR="00DE7474">
        <w:rPr>
          <w:lang w:eastAsia="en-AU"/>
        </w:rPr>
        <w:t> </w:t>
      </w:r>
      <w:r w:rsidR="00F46695" w:rsidRPr="003D7BE6">
        <w:rPr>
          <w:lang w:eastAsia="en-AU"/>
        </w:rPr>
        <w:t xml:space="preserve">million contribution to Epworth HealthCare for the Complex Care Unit </w:t>
      </w:r>
      <w:r w:rsidR="00C34733" w:rsidRPr="003D7BE6">
        <w:rPr>
          <w:lang w:eastAsia="en-AU"/>
        </w:rPr>
        <w:t>being constructed</w:t>
      </w:r>
      <w:r w:rsidR="00F46695" w:rsidRPr="003D7BE6">
        <w:rPr>
          <w:lang w:eastAsia="en-AU"/>
        </w:rPr>
        <w:t xml:space="preserve"> within the Epworth Geelong Teaching Hospital. The proposed facility </w:t>
      </w:r>
      <w:r>
        <w:rPr>
          <w:lang w:eastAsia="en-AU"/>
        </w:rPr>
        <w:t>is to</w:t>
      </w:r>
      <w:r w:rsidR="00F46695" w:rsidRPr="003D7BE6">
        <w:rPr>
          <w:lang w:eastAsia="en-AU"/>
        </w:rPr>
        <w:t xml:space="preserve"> assist workforce development and training in treating patients with critical cardiac and neurological conditions</w:t>
      </w:r>
      <w:r w:rsidR="00F46695" w:rsidRPr="003D7BE6">
        <w:rPr>
          <w:snapToGrid w:val="0"/>
          <w:szCs w:val="20"/>
        </w:rPr>
        <w:t>.</w:t>
      </w:r>
    </w:p>
    <w:p w:rsidR="00F46695" w:rsidRPr="003D7BE6" w:rsidRDefault="00DA00F1" w:rsidP="005A306C">
      <w:pPr>
        <w:spacing w:before="240"/>
        <w:rPr>
          <w:snapToGrid w:val="0"/>
          <w:szCs w:val="20"/>
        </w:rPr>
      </w:pPr>
      <w:r>
        <w:rPr>
          <w:snapToGrid w:val="0"/>
          <w:szCs w:val="20"/>
        </w:rPr>
        <w:t>Second, t</w:t>
      </w:r>
      <w:r w:rsidR="00F46695" w:rsidRPr="003D7BE6">
        <w:rPr>
          <w:snapToGrid w:val="0"/>
          <w:szCs w:val="20"/>
        </w:rPr>
        <w:t xml:space="preserve">he </w:t>
      </w:r>
      <w:r w:rsidR="00F46695" w:rsidRPr="003D7BE6">
        <w:t xml:space="preserve">private hospital </w:t>
      </w:r>
      <w:r>
        <w:t xml:space="preserve">is to </w:t>
      </w:r>
      <w:r w:rsidR="00F46695" w:rsidRPr="003D7BE6">
        <w:t>be linked to Deakin University’s Faculty of Health Sciences and would provide clinical training experiences for medical, nursing and allied health students</w:t>
      </w:r>
      <w:r w:rsidR="00F46695" w:rsidRPr="003D7BE6">
        <w:rPr>
          <w:snapToGrid w:val="0"/>
          <w:szCs w:val="20"/>
        </w:rPr>
        <w:t>.</w:t>
      </w:r>
      <w:r w:rsidR="00683C80" w:rsidRPr="003D7BE6">
        <w:rPr>
          <w:snapToGrid w:val="0"/>
          <w:szCs w:val="20"/>
        </w:rPr>
        <w:t xml:space="preserve"> </w:t>
      </w:r>
      <w:r w:rsidR="00F46695" w:rsidRPr="003D7BE6">
        <w:rPr>
          <w:snapToGrid w:val="0"/>
          <w:szCs w:val="20"/>
        </w:rPr>
        <w:t xml:space="preserve">On 21 </w:t>
      </w:r>
      <w:r w:rsidR="00F46695" w:rsidRPr="003D7BE6">
        <w:t>July 2013</w:t>
      </w:r>
      <w:r w:rsidR="001251F1" w:rsidRPr="003D7BE6">
        <w:t>,</w:t>
      </w:r>
      <w:r w:rsidR="00F46695" w:rsidRPr="003D7BE6">
        <w:t xml:space="preserve"> the </w:t>
      </w:r>
      <w:r w:rsidR="00C420A6">
        <w:t xml:space="preserve">then </w:t>
      </w:r>
      <w:r w:rsidR="007A5D1D">
        <w:t>Government</w:t>
      </w:r>
      <w:r w:rsidR="00F46695" w:rsidRPr="003D7BE6">
        <w:t xml:space="preserve"> announced</w:t>
      </w:r>
      <w:r w:rsidR="00106521" w:rsidRPr="003D7BE6">
        <w:t xml:space="preserve"> an additional $0.5 million in </w:t>
      </w:r>
      <w:r w:rsidR="00C22C3B">
        <w:t>2012-13</w:t>
      </w:r>
      <w:r w:rsidR="00106521" w:rsidRPr="003D7BE6">
        <w:t xml:space="preserve"> </w:t>
      </w:r>
      <w:r w:rsidR="00F46695" w:rsidRPr="003D7BE6">
        <w:t>for new projects aimed at ending female genital mutilation</w:t>
      </w:r>
      <w:r w:rsidR="005A306C">
        <w:t xml:space="preserve">, </w:t>
      </w:r>
      <w:r w:rsidR="00F46695" w:rsidRPr="003D7BE6">
        <w:t>target</w:t>
      </w:r>
      <w:r w:rsidR="005A306C">
        <w:t>ing</w:t>
      </w:r>
      <w:r w:rsidR="00F46695" w:rsidRPr="003D7BE6">
        <w:t xml:space="preserve"> issues including </w:t>
      </w:r>
      <w:r w:rsidR="005A306C">
        <w:t>its</w:t>
      </w:r>
      <w:r w:rsidR="00F46695" w:rsidRPr="003D7BE6">
        <w:t xml:space="preserve"> prevalence, its effect on childbirth, cultural sensitivities, and education for young male migrants</w:t>
      </w:r>
      <w:r w:rsidR="00F46695" w:rsidRPr="003D7BE6">
        <w:rPr>
          <w:snapToGrid w:val="0"/>
          <w:szCs w:val="20"/>
        </w:rPr>
        <w:t>.</w:t>
      </w:r>
    </w:p>
    <w:p w:rsidR="00C76DBC" w:rsidRPr="003D7BE6" w:rsidRDefault="00C76DBC" w:rsidP="00690BE1">
      <w:pPr>
        <w:pStyle w:val="Heading3"/>
      </w:pPr>
      <w:bookmarkStart w:id="32" w:name="_Toc379748700"/>
      <w:r w:rsidRPr="003D7BE6">
        <w:lastRenderedPageBreak/>
        <w:t>Explanation of Underspend</w:t>
      </w:r>
      <w:r w:rsidR="005C0CA9">
        <w:t>: Outcome 10</w:t>
      </w:r>
      <w:bookmarkEnd w:id="32"/>
    </w:p>
    <w:p w:rsidR="003D7BE6" w:rsidRDefault="00F46695" w:rsidP="003D7BE6">
      <w:pPr>
        <w:rPr>
          <w:color w:val="000000" w:themeColor="text1"/>
        </w:rPr>
      </w:pPr>
      <w:r w:rsidRPr="003D7BE6">
        <w:rPr>
          <w:color w:val="000000" w:themeColor="text1"/>
        </w:rPr>
        <w:t xml:space="preserve">The Government </w:t>
      </w:r>
      <w:r w:rsidRPr="003D7BE6">
        <w:t xml:space="preserve">contribution to the Epworth HealthCare Geelong Hospital project and the ending of FGM were both fully paid in </w:t>
      </w:r>
      <w:r w:rsidR="00C22C3B">
        <w:t>2012-13</w:t>
      </w:r>
      <w:r w:rsidRPr="003D7BE6">
        <w:t xml:space="preserve">. </w:t>
      </w:r>
      <w:proofErr w:type="gramStart"/>
      <w:r w:rsidRPr="003D7BE6">
        <w:t>The underspend</w:t>
      </w:r>
      <w:proofErr w:type="gramEnd"/>
      <w:r w:rsidRPr="003D7BE6">
        <w:t xml:space="preserve"> against the Advance was due to delayed payments against other initiatives within Outcome 10 which reduced the </w:t>
      </w:r>
      <w:r w:rsidR="00DA00F1">
        <w:t xml:space="preserve">need to rely on the </w:t>
      </w:r>
      <w:r w:rsidRPr="003D7BE6">
        <w:t>Advance</w:t>
      </w:r>
      <w:r w:rsidRPr="003D7BE6">
        <w:rPr>
          <w:color w:val="000000" w:themeColor="text1"/>
        </w:rPr>
        <w:t>.</w:t>
      </w:r>
    </w:p>
    <w:p w:rsidR="00C76DBC" w:rsidRPr="003D7BE6" w:rsidRDefault="00C76DBC" w:rsidP="005C0CA9">
      <w:pPr>
        <w:pStyle w:val="Heading3"/>
      </w:pPr>
      <w:bookmarkStart w:id="33" w:name="_Toc379748701"/>
      <w:r w:rsidRPr="003D7BE6">
        <w:t>Explanation of Requirement</w:t>
      </w:r>
      <w:r w:rsidR="005C0CA9">
        <w:t>: Outcome 14</w:t>
      </w:r>
      <w:bookmarkEnd w:id="33"/>
    </w:p>
    <w:p w:rsidR="00A949D1" w:rsidRPr="003D7BE6" w:rsidRDefault="00F46695" w:rsidP="003D7BE6">
      <w:pPr>
        <w:spacing w:before="240"/>
        <w:rPr>
          <w:szCs w:val="20"/>
        </w:rPr>
      </w:pPr>
      <w:r w:rsidRPr="003D7BE6">
        <w:rPr>
          <w:snapToGrid w:val="0"/>
          <w:szCs w:val="20"/>
        </w:rPr>
        <w:t xml:space="preserve">In </w:t>
      </w:r>
      <w:r w:rsidRPr="003D7BE6">
        <w:t>the 2013-</w:t>
      </w:r>
      <w:r w:rsidR="00977BE3" w:rsidRPr="003D7BE6">
        <w:t>20</w:t>
      </w:r>
      <w:r w:rsidRPr="003D7BE6">
        <w:t xml:space="preserve">14 Budget, the </w:t>
      </w:r>
      <w:r w:rsidR="00367776">
        <w:t xml:space="preserve">then </w:t>
      </w:r>
      <w:r w:rsidRPr="003D7BE6">
        <w:t>G</w:t>
      </w:r>
      <w:r w:rsidR="00C34733" w:rsidRPr="003D7BE6">
        <w:t>overnment agreed to provide $5</w:t>
      </w:r>
      <w:r w:rsidRPr="003D7BE6">
        <w:t xml:space="preserve"> million in </w:t>
      </w:r>
      <w:r w:rsidR="00C22C3B">
        <w:t>2012-13</w:t>
      </w:r>
      <w:r w:rsidRPr="003D7BE6">
        <w:t xml:space="preserve"> to assist the Australian Red Cross Society to perform its health related work in humanitarian relief and community support in Australia. $2.8 million was met from existing resources within Outcome 14</w:t>
      </w:r>
      <w:r w:rsidR="001251F1" w:rsidRPr="003D7BE6">
        <w:t>,</w:t>
      </w:r>
      <w:r w:rsidRPr="003D7BE6">
        <w:t xml:space="preserve"> which reduced the Advance requirement to $2.2 million</w:t>
      </w:r>
      <w:r w:rsidR="00A949D1" w:rsidRPr="003D7BE6">
        <w:rPr>
          <w:szCs w:val="20"/>
        </w:rPr>
        <w:t>.</w:t>
      </w:r>
      <w:r w:rsidR="00D00997" w:rsidRPr="003D7BE6">
        <w:rPr>
          <w:szCs w:val="20"/>
        </w:rPr>
        <w:t xml:space="preserve"> </w:t>
      </w:r>
    </w:p>
    <w:p w:rsidR="00C76DBC" w:rsidRPr="003D7BE6" w:rsidRDefault="00C76DBC" w:rsidP="005C0CA9">
      <w:pPr>
        <w:pStyle w:val="Heading3"/>
      </w:pPr>
      <w:bookmarkStart w:id="34" w:name="_Toc379748702"/>
      <w:r w:rsidRPr="003D7BE6">
        <w:t>Explanation of Underspend</w:t>
      </w:r>
      <w:r w:rsidR="005C0CA9">
        <w:t>: Outcome 14</w:t>
      </w:r>
      <w:bookmarkEnd w:id="34"/>
    </w:p>
    <w:p w:rsidR="00A949D1" w:rsidRDefault="00F46695" w:rsidP="003D7BE6">
      <w:pPr>
        <w:rPr>
          <w:color w:val="000000" w:themeColor="text1"/>
        </w:rPr>
      </w:pPr>
      <w:r w:rsidRPr="003D7BE6">
        <w:rPr>
          <w:color w:val="000000" w:themeColor="text1"/>
        </w:rPr>
        <w:t xml:space="preserve">The Government </w:t>
      </w:r>
      <w:r w:rsidRPr="003D7BE6">
        <w:t xml:space="preserve">contribution to the Australian Red Cross Society was fully paid in </w:t>
      </w:r>
      <w:r w:rsidR="00C22C3B">
        <w:t>2012-13</w:t>
      </w:r>
      <w:r w:rsidRPr="003D7BE6">
        <w:t xml:space="preserve">. </w:t>
      </w:r>
      <w:r w:rsidR="00977BE3" w:rsidRPr="003D7BE6">
        <w:t xml:space="preserve">The </w:t>
      </w:r>
      <w:r w:rsidRPr="003D7BE6">
        <w:t xml:space="preserve">underspend against the Advance was due to </w:t>
      </w:r>
      <w:r w:rsidR="00106521" w:rsidRPr="003D7BE6">
        <w:t xml:space="preserve">delayed </w:t>
      </w:r>
      <w:r w:rsidRPr="003D7BE6">
        <w:t>payment</w:t>
      </w:r>
      <w:r w:rsidR="00106521" w:rsidRPr="003D7BE6">
        <w:t>s</w:t>
      </w:r>
      <w:r w:rsidRPr="003D7BE6">
        <w:t xml:space="preserve"> against oth</w:t>
      </w:r>
      <w:r w:rsidR="00C81C8C" w:rsidRPr="003D7BE6">
        <w:t>er initiatives within Outcome 14</w:t>
      </w:r>
      <w:r w:rsidRPr="003D7BE6">
        <w:t xml:space="preserve"> which further reduced the </w:t>
      </w:r>
      <w:r w:rsidR="00367776">
        <w:t xml:space="preserve">need to rely on the </w:t>
      </w:r>
      <w:r w:rsidRPr="003D7BE6">
        <w:t>Advance</w:t>
      </w:r>
      <w:r w:rsidRPr="003D7BE6">
        <w:rPr>
          <w:color w:val="000000" w:themeColor="text1"/>
        </w:rPr>
        <w:t>.</w:t>
      </w:r>
    </w:p>
    <w:p w:rsidR="005C0CA9" w:rsidRDefault="005C0CA9" w:rsidP="003D7BE6">
      <w:pPr>
        <w:rPr>
          <w:color w:val="000000" w:themeColor="text1"/>
        </w:rPr>
      </w:pPr>
    </w:p>
    <w:p w:rsidR="005C0CA9" w:rsidRDefault="005C0CA9">
      <w:pPr>
        <w:spacing w:after="0"/>
        <w:rPr>
          <w:color w:val="000000" w:themeColor="text1"/>
        </w:rPr>
      </w:pPr>
      <w:r>
        <w:rPr>
          <w:color w:val="000000" w:themeColor="text1"/>
        </w:rPr>
        <w:br w:type="page"/>
      </w:r>
    </w:p>
    <w:p w:rsidR="005C0CA9" w:rsidRPr="008911A8" w:rsidRDefault="005C0CA9" w:rsidP="00E433EE">
      <w:pPr>
        <w:pStyle w:val="Heading2"/>
        <w:ind w:left="2268" w:hanging="2268"/>
      </w:pPr>
      <w:bookmarkStart w:id="35" w:name="_Toc379748703"/>
      <w:proofErr w:type="gramStart"/>
      <w:r w:rsidRPr="008911A8">
        <w:lastRenderedPageBreak/>
        <w:t>AFM No.</w:t>
      </w:r>
      <w:proofErr w:type="gramEnd"/>
      <w:r w:rsidRPr="008911A8">
        <w:t xml:space="preserve"> 5:</w:t>
      </w:r>
      <w:r w:rsidR="008911A8">
        <w:tab/>
      </w:r>
      <w:r w:rsidR="00C420A6">
        <w:t>DRALGAS: Outcome 4</w:t>
      </w:r>
      <w:bookmarkEnd w:id="35"/>
    </w:p>
    <w:tbl>
      <w:tblPr>
        <w:tblW w:w="9180" w:type="dxa"/>
        <w:tblLayout w:type="fixed"/>
        <w:tblLook w:val="0000"/>
      </w:tblPr>
      <w:tblGrid>
        <w:gridCol w:w="2331"/>
        <w:gridCol w:w="1843"/>
        <w:gridCol w:w="1940"/>
        <w:gridCol w:w="3066"/>
      </w:tblGrid>
      <w:tr w:rsidR="008C356B" w:rsidRPr="003D7BE6" w:rsidTr="00C420A6">
        <w:trPr>
          <w:trHeight w:val="439"/>
        </w:trPr>
        <w:tc>
          <w:tcPr>
            <w:tcW w:w="2331" w:type="dxa"/>
          </w:tcPr>
          <w:p w:rsidR="008C356B" w:rsidRPr="003D7BE6" w:rsidRDefault="008C356B" w:rsidP="00C30F2A">
            <w:pPr>
              <w:pStyle w:val="TableText"/>
              <w:rPr>
                <w:b/>
                <w:snapToGrid w:val="0"/>
              </w:rPr>
            </w:pPr>
            <w:r w:rsidRPr="003D7BE6">
              <w:rPr>
                <w:b/>
                <w:snapToGrid w:val="0"/>
              </w:rPr>
              <w:t xml:space="preserve">Legislative Instrument </w:t>
            </w:r>
          </w:p>
        </w:tc>
        <w:tc>
          <w:tcPr>
            <w:tcW w:w="6849" w:type="dxa"/>
            <w:gridSpan w:val="3"/>
          </w:tcPr>
          <w:p w:rsidR="008C356B" w:rsidRPr="003D7BE6" w:rsidRDefault="00A949D1" w:rsidP="00DC0948">
            <w:pPr>
              <w:pStyle w:val="TableText"/>
            </w:pPr>
            <w:r w:rsidRPr="003D7BE6">
              <w:t>F2013L01265</w:t>
            </w:r>
            <w:r w:rsidR="008C356B" w:rsidRPr="003D7BE6">
              <w:t>, Adv</w:t>
            </w:r>
            <w:r w:rsidR="00EF39DA" w:rsidRPr="003D7BE6">
              <w:t>ance to the Finance Minister</w:t>
            </w:r>
            <w:r w:rsidR="003C3029" w:rsidRPr="003D7BE6">
              <w:t xml:space="preserve"> — </w:t>
            </w:r>
            <w:r w:rsidR="00EF39DA" w:rsidRPr="003D7BE6">
              <w:t>S</w:t>
            </w:r>
            <w:r w:rsidR="008C356B" w:rsidRPr="003D7BE6">
              <w:t xml:space="preserve">ection 13 of </w:t>
            </w:r>
            <w:r w:rsidR="008C356B" w:rsidRPr="003D7BE6">
              <w:rPr>
                <w:i/>
              </w:rPr>
              <w:t>Appropriation Act (No. 1) 20</w:t>
            </w:r>
            <w:r w:rsidR="00E90185" w:rsidRPr="003D7BE6">
              <w:rPr>
                <w:i/>
              </w:rPr>
              <w:t>1</w:t>
            </w:r>
            <w:r w:rsidRPr="003D7BE6">
              <w:rPr>
                <w:i/>
              </w:rPr>
              <w:t>2</w:t>
            </w:r>
            <w:r w:rsidR="00046EBE" w:rsidRPr="003D7BE6">
              <w:rPr>
                <w:i/>
              </w:rPr>
              <w:noBreakHyphen/>
            </w:r>
            <w:r w:rsidR="008C356B" w:rsidRPr="003D7BE6">
              <w:rPr>
                <w:i/>
              </w:rPr>
              <w:t>201</w:t>
            </w:r>
            <w:r w:rsidRPr="003D7BE6">
              <w:rPr>
                <w:i/>
              </w:rPr>
              <w:t>3</w:t>
            </w:r>
          </w:p>
        </w:tc>
      </w:tr>
      <w:tr w:rsidR="008C356B" w:rsidRPr="003D7BE6" w:rsidTr="00C420A6">
        <w:trPr>
          <w:trHeight w:val="439"/>
        </w:trPr>
        <w:tc>
          <w:tcPr>
            <w:tcW w:w="2331" w:type="dxa"/>
          </w:tcPr>
          <w:p w:rsidR="008C356B" w:rsidRPr="003D7BE6" w:rsidRDefault="00C30F2A" w:rsidP="003D7BE6">
            <w:pPr>
              <w:pStyle w:val="TableText"/>
              <w:rPr>
                <w:b/>
                <w:snapToGrid w:val="0"/>
              </w:rPr>
            </w:pPr>
            <w:r>
              <w:rPr>
                <w:b/>
                <w:snapToGrid w:val="0"/>
              </w:rPr>
              <w:t>Sequence</w:t>
            </w:r>
            <w:r w:rsidR="008C356B" w:rsidRPr="003D7BE6">
              <w:rPr>
                <w:b/>
                <w:snapToGrid w:val="0"/>
              </w:rPr>
              <w:t xml:space="preserve"> </w:t>
            </w:r>
          </w:p>
        </w:tc>
        <w:tc>
          <w:tcPr>
            <w:tcW w:w="6849" w:type="dxa"/>
            <w:gridSpan w:val="3"/>
          </w:tcPr>
          <w:p w:rsidR="008C356B" w:rsidRPr="003D7BE6" w:rsidRDefault="00A949D1" w:rsidP="003D7BE6">
            <w:pPr>
              <w:pStyle w:val="TableText"/>
            </w:pPr>
            <w:r w:rsidRPr="003D7BE6">
              <w:t>No. 5</w:t>
            </w:r>
            <w:r w:rsidR="008C356B" w:rsidRPr="003D7BE6">
              <w:t xml:space="preserve"> of </w:t>
            </w:r>
            <w:r w:rsidR="00C22C3B">
              <w:t>2012-13</w:t>
            </w:r>
            <w:r w:rsidR="00C30F2A">
              <w:t xml:space="preserve">, </w:t>
            </w:r>
            <w:r w:rsidR="00C30F2A" w:rsidRPr="003D7BE6">
              <w:t>28 June 2013</w:t>
            </w:r>
          </w:p>
        </w:tc>
      </w:tr>
      <w:tr w:rsidR="008C356B" w:rsidRPr="003D7BE6" w:rsidTr="00C420A6">
        <w:trPr>
          <w:trHeight w:val="439"/>
        </w:trPr>
        <w:tc>
          <w:tcPr>
            <w:tcW w:w="2331" w:type="dxa"/>
          </w:tcPr>
          <w:p w:rsidR="008C356B" w:rsidRPr="003D7BE6" w:rsidRDefault="008C356B" w:rsidP="003D7BE6">
            <w:pPr>
              <w:pStyle w:val="TableText"/>
              <w:rPr>
                <w:b/>
              </w:rPr>
            </w:pPr>
            <w:r w:rsidRPr="003D7BE6">
              <w:rPr>
                <w:b/>
                <w:snapToGrid w:val="0"/>
              </w:rPr>
              <w:t>Portfolio</w:t>
            </w:r>
          </w:p>
        </w:tc>
        <w:tc>
          <w:tcPr>
            <w:tcW w:w="6849" w:type="dxa"/>
            <w:gridSpan w:val="3"/>
          </w:tcPr>
          <w:p w:rsidR="008C356B" w:rsidRPr="003D7BE6" w:rsidRDefault="00CE33D1" w:rsidP="003D7BE6">
            <w:pPr>
              <w:pStyle w:val="TableText"/>
            </w:pPr>
            <w:r w:rsidRPr="003D7BE6">
              <w:t>Regional Australia, Local Government, Arts and Sport</w:t>
            </w:r>
          </w:p>
        </w:tc>
      </w:tr>
      <w:tr w:rsidR="008C356B" w:rsidRPr="003D7BE6" w:rsidTr="00C420A6">
        <w:trPr>
          <w:trHeight w:val="439"/>
        </w:trPr>
        <w:tc>
          <w:tcPr>
            <w:tcW w:w="2331" w:type="dxa"/>
          </w:tcPr>
          <w:p w:rsidR="008C356B" w:rsidRPr="003D7BE6" w:rsidRDefault="008C356B" w:rsidP="003D7BE6">
            <w:pPr>
              <w:pStyle w:val="TableText"/>
              <w:rPr>
                <w:b/>
              </w:rPr>
            </w:pPr>
            <w:r w:rsidRPr="003D7BE6">
              <w:rPr>
                <w:b/>
                <w:snapToGrid w:val="0"/>
              </w:rPr>
              <w:t>Agency</w:t>
            </w:r>
          </w:p>
        </w:tc>
        <w:tc>
          <w:tcPr>
            <w:tcW w:w="6849" w:type="dxa"/>
            <w:gridSpan w:val="3"/>
          </w:tcPr>
          <w:p w:rsidR="008C356B" w:rsidRPr="003D7BE6" w:rsidRDefault="009F3DCC" w:rsidP="003D7BE6">
            <w:pPr>
              <w:pStyle w:val="TableText"/>
            </w:pPr>
            <w:r w:rsidRPr="003D7BE6">
              <w:t>Department of Regional Australia, Local Government, Arts and Sport</w:t>
            </w:r>
            <w:r w:rsidR="00C420A6">
              <w:t xml:space="preserve"> (DRALGAS)</w:t>
            </w:r>
          </w:p>
        </w:tc>
      </w:tr>
      <w:tr w:rsidR="008C356B" w:rsidRPr="003D7BE6" w:rsidTr="00C420A6">
        <w:trPr>
          <w:trHeight w:val="439"/>
        </w:trPr>
        <w:tc>
          <w:tcPr>
            <w:tcW w:w="2331" w:type="dxa"/>
          </w:tcPr>
          <w:p w:rsidR="008C356B" w:rsidRPr="003D7BE6" w:rsidRDefault="008C356B" w:rsidP="003D7BE6">
            <w:pPr>
              <w:pStyle w:val="TableText"/>
              <w:rPr>
                <w:b/>
              </w:rPr>
            </w:pPr>
            <w:r w:rsidRPr="003D7BE6">
              <w:rPr>
                <w:b/>
              </w:rPr>
              <w:t>Appropriation Item</w:t>
            </w:r>
          </w:p>
        </w:tc>
        <w:tc>
          <w:tcPr>
            <w:tcW w:w="6849" w:type="dxa"/>
            <w:gridSpan w:val="3"/>
          </w:tcPr>
          <w:p w:rsidR="008C356B" w:rsidRPr="003D7BE6" w:rsidRDefault="008C356B" w:rsidP="003D7BE6">
            <w:pPr>
              <w:pStyle w:val="TableText"/>
            </w:pPr>
            <w:r w:rsidRPr="003D7BE6">
              <w:t>Administer</w:t>
            </w:r>
            <w:r w:rsidR="003F3254" w:rsidRPr="003D7BE6">
              <w:t xml:space="preserve">ed Item, Outcome </w:t>
            </w:r>
            <w:r w:rsidR="009F3DCC" w:rsidRPr="003D7BE6">
              <w:t>4</w:t>
            </w:r>
          </w:p>
        </w:tc>
      </w:tr>
      <w:tr w:rsidR="008C356B" w:rsidRPr="003D7BE6" w:rsidTr="00C420A6">
        <w:trPr>
          <w:trHeight w:val="439"/>
        </w:trPr>
        <w:tc>
          <w:tcPr>
            <w:tcW w:w="2331" w:type="dxa"/>
          </w:tcPr>
          <w:p w:rsidR="008C356B" w:rsidRPr="003D7BE6" w:rsidRDefault="008C356B" w:rsidP="003D7BE6">
            <w:pPr>
              <w:pStyle w:val="TableText"/>
              <w:rPr>
                <w:b/>
              </w:rPr>
            </w:pPr>
            <w:r w:rsidRPr="003D7BE6">
              <w:rPr>
                <w:b/>
              </w:rPr>
              <w:t>Outcome</w:t>
            </w:r>
            <w:r w:rsidR="00DA00F1">
              <w:rPr>
                <w:b/>
              </w:rPr>
              <w:t xml:space="preserve"> text</w:t>
            </w:r>
          </w:p>
        </w:tc>
        <w:tc>
          <w:tcPr>
            <w:tcW w:w="6849" w:type="dxa"/>
            <w:gridSpan w:val="3"/>
          </w:tcPr>
          <w:p w:rsidR="008C356B" w:rsidRPr="003D7BE6" w:rsidRDefault="00556EB9" w:rsidP="003D7BE6">
            <w:pPr>
              <w:pStyle w:val="TableText"/>
              <w:rPr>
                <w:szCs w:val="20"/>
              </w:rPr>
            </w:pPr>
            <w:r w:rsidRPr="003D7BE6">
              <w:t xml:space="preserve">Improved </w:t>
            </w:r>
            <w:r w:rsidRPr="003D7BE6">
              <w:rPr>
                <w:lang w:eastAsia="en-AU"/>
              </w:rPr>
              <w:t>opportunities for community participation in sport and recreation, and excellence in high</w:t>
            </w:r>
            <w:r w:rsidRPr="003D7BE6">
              <w:rPr>
                <w:lang w:eastAsia="en-AU"/>
              </w:rPr>
              <w:noBreakHyphen/>
              <w:t>performance athletes, including through investment in sport infrastructure and events, research and international cooperation</w:t>
            </w:r>
          </w:p>
        </w:tc>
      </w:tr>
      <w:tr w:rsidR="008C356B" w:rsidRPr="003D7BE6" w:rsidTr="00C420A6">
        <w:trPr>
          <w:trHeight w:val="439"/>
        </w:trPr>
        <w:tc>
          <w:tcPr>
            <w:tcW w:w="2331" w:type="dxa"/>
          </w:tcPr>
          <w:p w:rsidR="008C356B" w:rsidRPr="003D7BE6" w:rsidRDefault="008C356B" w:rsidP="003D7BE6">
            <w:pPr>
              <w:pStyle w:val="TableText"/>
              <w:rPr>
                <w:b/>
              </w:rPr>
            </w:pPr>
            <w:r w:rsidRPr="003D7BE6">
              <w:rPr>
                <w:b/>
              </w:rPr>
              <w:t>Program</w:t>
            </w:r>
          </w:p>
        </w:tc>
        <w:tc>
          <w:tcPr>
            <w:tcW w:w="6849" w:type="dxa"/>
            <w:gridSpan w:val="3"/>
          </w:tcPr>
          <w:p w:rsidR="008C356B" w:rsidRPr="003D7BE6" w:rsidRDefault="009F3DCC" w:rsidP="003D7BE6">
            <w:pPr>
              <w:pStyle w:val="TableText"/>
            </w:pPr>
            <w:r w:rsidRPr="003D7BE6">
              <w:t>Sport and Recreation</w:t>
            </w:r>
          </w:p>
        </w:tc>
      </w:tr>
      <w:tr w:rsidR="008C356B" w:rsidRPr="003D7BE6" w:rsidTr="00C420A6">
        <w:tc>
          <w:tcPr>
            <w:tcW w:w="2331" w:type="dxa"/>
          </w:tcPr>
          <w:p w:rsidR="008C356B" w:rsidRPr="003D7BE6" w:rsidRDefault="008C356B" w:rsidP="003D7BE6">
            <w:pPr>
              <w:pStyle w:val="TableText"/>
              <w:rPr>
                <w:u w:val="single"/>
              </w:rPr>
            </w:pPr>
          </w:p>
        </w:tc>
        <w:tc>
          <w:tcPr>
            <w:tcW w:w="1843" w:type="dxa"/>
          </w:tcPr>
          <w:p w:rsidR="008C356B" w:rsidRPr="003D7BE6" w:rsidRDefault="008C356B" w:rsidP="003D7BE6">
            <w:pPr>
              <w:pStyle w:val="TableText"/>
              <w:rPr>
                <w:u w:val="single"/>
              </w:rPr>
            </w:pPr>
            <w:r w:rsidRPr="003D7BE6">
              <w:rPr>
                <w:u w:val="single"/>
              </w:rPr>
              <w:t>Legislative Requirement</w:t>
            </w:r>
          </w:p>
        </w:tc>
        <w:tc>
          <w:tcPr>
            <w:tcW w:w="1940" w:type="dxa"/>
          </w:tcPr>
          <w:p w:rsidR="008C356B" w:rsidRPr="003D7BE6" w:rsidRDefault="008C356B" w:rsidP="003D7BE6">
            <w:pPr>
              <w:pStyle w:val="TableText"/>
              <w:rPr>
                <w:u w:val="single"/>
              </w:rPr>
            </w:pPr>
            <w:r w:rsidRPr="003D7BE6">
              <w:rPr>
                <w:u w:val="single"/>
              </w:rPr>
              <w:t>Amount Issued</w:t>
            </w:r>
          </w:p>
        </w:tc>
        <w:tc>
          <w:tcPr>
            <w:tcW w:w="3066" w:type="dxa"/>
          </w:tcPr>
          <w:p w:rsidR="008C356B" w:rsidRPr="003D7BE6" w:rsidRDefault="008C356B" w:rsidP="003D7BE6">
            <w:pPr>
              <w:pStyle w:val="TableText"/>
              <w:rPr>
                <w:u w:val="single"/>
              </w:rPr>
            </w:pPr>
            <w:r w:rsidRPr="003D7BE6">
              <w:rPr>
                <w:u w:val="single"/>
              </w:rPr>
              <w:t>Expenditure</w:t>
            </w:r>
          </w:p>
        </w:tc>
      </w:tr>
      <w:tr w:rsidR="008C356B" w:rsidRPr="003D7BE6" w:rsidTr="00C420A6">
        <w:tc>
          <w:tcPr>
            <w:tcW w:w="2331" w:type="dxa"/>
          </w:tcPr>
          <w:p w:rsidR="008C356B" w:rsidRPr="003D7BE6" w:rsidRDefault="008C356B" w:rsidP="003D7BE6">
            <w:pPr>
              <w:pStyle w:val="TableText"/>
            </w:pPr>
          </w:p>
        </w:tc>
        <w:tc>
          <w:tcPr>
            <w:tcW w:w="1843" w:type="dxa"/>
          </w:tcPr>
          <w:p w:rsidR="008C356B" w:rsidRPr="003D7BE6" w:rsidRDefault="008C356B" w:rsidP="003D7BE6">
            <w:pPr>
              <w:pStyle w:val="TableText"/>
            </w:pPr>
            <w:r w:rsidRPr="003D7BE6">
              <w:t>Unforeseen</w:t>
            </w:r>
          </w:p>
        </w:tc>
        <w:tc>
          <w:tcPr>
            <w:tcW w:w="1940" w:type="dxa"/>
          </w:tcPr>
          <w:p w:rsidR="008C356B" w:rsidRPr="003D7BE6" w:rsidRDefault="009F3DCC" w:rsidP="003D7BE6">
            <w:pPr>
              <w:pStyle w:val="TableText"/>
            </w:pPr>
            <w:r w:rsidRPr="003D7BE6">
              <w:t>$</w:t>
            </w:r>
            <w:r w:rsidR="00556EB9" w:rsidRPr="003D7BE6">
              <w:t>4,632,500</w:t>
            </w:r>
          </w:p>
        </w:tc>
        <w:tc>
          <w:tcPr>
            <w:tcW w:w="3066" w:type="dxa"/>
          </w:tcPr>
          <w:p w:rsidR="008C356B" w:rsidRPr="003D7BE6" w:rsidRDefault="003F3254" w:rsidP="003D7BE6">
            <w:pPr>
              <w:pStyle w:val="TableText"/>
            </w:pPr>
            <w:r w:rsidRPr="003D7BE6">
              <w:t>$</w:t>
            </w:r>
            <w:r w:rsidR="00556EB9" w:rsidRPr="003D7BE6">
              <w:t>4,632,500</w:t>
            </w:r>
          </w:p>
        </w:tc>
      </w:tr>
    </w:tbl>
    <w:p w:rsidR="00BB667F" w:rsidRDefault="00BB667F" w:rsidP="00BB667F"/>
    <w:p w:rsidR="00C76DBC" w:rsidRPr="003D7BE6" w:rsidRDefault="00C76DBC" w:rsidP="00BB667F">
      <w:pPr>
        <w:pStyle w:val="Heading3"/>
      </w:pPr>
      <w:bookmarkStart w:id="36" w:name="_Toc379748704"/>
      <w:r w:rsidRPr="003D7BE6">
        <w:t>Explanation of Requirement</w:t>
      </w:r>
      <w:bookmarkEnd w:id="36"/>
    </w:p>
    <w:p w:rsidR="00C420A6" w:rsidRDefault="00C420A6" w:rsidP="003D7BE6">
      <w:pPr>
        <w:rPr>
          <w:szCs w:val="20"/>
        </w:rPr>
      </w:pPr>
      <w:r>
        <w:rPr>
          <w:szCs w:val="20"/>
        </w:rPr>
        <w:t xml:space="preserve">DRALGAS </w:t>
      </w:r>
      <w:r w:rsidR="00626C15" w:rsidRPr="003D7BE6">
        <w:rPr>
          <w:szCs w:val="20"/>
        </w:rPr>
        <w:t>did</w:t>
      </w:r>
      <w:r w:rsidR="00556EB9" w:rsidRPr="003D7BE6">
        <w:rPr>
          <w:szCs w:val="20"/>
        </w:rPr>
        <w:t xml:space="preserve"> not have any </w:t>
      </w:r>
      <w:r w:rsidR="00C22C3B">
        <w:rPr>
          <w:szCs w:val="20"/>
        </w:rPr>
        <w:t>2012-13</w:t>
      </w:r>
      <w:r w:rsidR="00556EB9" w:rsidRPr="003D7BE6">
        <w:rPr>
          <w:szCs w:val="20"/>
        </w:rPr>
        <w:t xml:space="preserve"> administered funds within Outcome 4 to cover amoun</w:t>
      </w:r>
      <w:r w:rsidR="007E7ABE" w:rsidRPr="003D7BE6">
        <w:rPr>
          <w:szCs w:val="20"/>
        </w:rPr>
        <w:t xml:space="preserve">ts payable as at 30 June 2013. </w:t>
      </w:r>
      <w:r w:rsidR="00556EB9" w:rsidRPr="003D7BE6">
        <w:rPr>
          <w:szCs w:val="20"/>
        </w:rPr>
        <w:t xml:space="preserve">All </w:t>
      </w:r>
      <w:r w:rsidR="00C22C3B">
        <w:rPr>
          <w:szCs w:val="20"/>
        </w:rPr>
        <w:t>2012-13</w:t>
      </w:r>
      <w:r w:rsidR="00556EB9" w:rsidRPr="003D7BE6">
        <w:rPr>
          <w:szCs w:val="20"/>
        </w:rPr>
        <w:t xml:space="preserve"> funds within the Outcome </w:t>
      </w:r>
      <w:r w:rsidR="00626C15" w:rsidRPr="003D7BE6">
        <w:rPr>
          <w:szCs w:val="20"/>
        </w:rPr>
        <w:t>were</w:t>
      </w:r>
      <w:r w:rsidR="00556EB9" w:rsidRPr="003D7BE6">
        <w:rPr>
          <w:szCs w:val="20"/>
        </w:rPr>
        <w:t xml:space="preserve"> committed</w:t>
      </w:r>
      <w:r w:rsidR="007E7ABE" w:rsidRPr="003D7BE6">
        <w:rPr>
          <w:szCs w:val="20"/>
        </w:rPr>
        <w:t xml:space="preserve"> and</w:t>
      </w:r>
      <w:r w:rsidR="00626C15" w:rsidRPr="003D7BE6">
        <w:rPr>
          <w:szCs w:val="20"/>
        </w:rPr>
        <w:t xml:space="preserve"> to be</w:t>
      </w:r>
      <w:r w:rsidR="007E7ABE" w:rsidRPr="003D7BE6">
        <w:rPr>
          <w:szCs w:val="20"/>
        </w:rPr>
        <w:t xml:space="preserve"> expended by 30 June 2013. </w:t>
      </w:r>
    </w:p>
    <w:p w:rsidR="009F3DCC" w:rsidRPr="003D7BE6" w:rsidRDefault="00556EB9" w:rsidP="003D7BE6">
      <w:pPr>
        <w:rPr>
          <w:szCs w:val="20"/>
        </w:rPr>
      </w:pPr>
      <w:r w:rsidRPr="003D7BE6">
        <w:rPr>
          <w:szCs w:val="20"/>
        </w:rPr>
        <w:t xml:space="preserve">Therefore, in the absence of additional </w:t>
      </w:r>
      <w:r w:rsidR="00C22C3B">
        <w:rPr>
          <w:szCs w:val="20"/>
        </w:rPr>
        <w:t>2012-13</w:t>
      </w:r>
      <w:r w:rsidR="00D00997" w:rsidRPr="003D7BE6">
        <w:rPr>
          <w:szCs w:val="20"/>
        </w:rPr>
        <w:t xml:space="preserve"> Appropriation Bills, there was</w:t>
      </w:r>
      <w:r w:rsidRPr="003D7BE6">
        <w:rPr>
          <w:szCs w:val="20"/>
        </w:rPr>
        <w:t xml:space="preserve"> a requirement for an </w:t>
      </w:r>
      <w:r w:rsidR="00626C15" w:rsidRPr="003D7BE6">
        <w:rPr>
          <w:szCs w:val="20"/>
        </w:rPr>
        <w:t>Advance</w:t>
      </w:r>
      <w:r w:rsidR="001251F1" w:rsidRPr="003D7BE6">
        <w:rPr>
          <w:szCs w:val="20"/>
        </w:rPr>
        <w:t xml:space="preserve"> of $4,632,500</w:t>
      </w:r>
      <w:r w:rsidRPr="003D7BE6">
        <w:rPr>
          <w:szCs w:val="20"/>
        </w:rPr>
        <w:t xml:space="preserve"> to meet </w:t>
      </w:r>
      <w:r w:rsidR="00626C15" w:rsidRPr="003D7BE6">
        <w:rPr>
          <w:szCs w:val="20"/>
        </w:rPr>
        <w:t>Government</w:t>
      </w:r>
      <w:r w:rsidRPr="003D7BE6">
        <w:rPr>
          <w:szCs w:val="20"/>
        </w:rPr>
        <w:t xml:space="preserve"> decisions</w:t>
      </w:r>
      <w:r w:rsidR="00BB40EE" w:rsidRPr="003D7BE6">
        <w:rPr>
          <w:szCs w:val="20"/>
        </w:rPr>
        <w:t xml:space="preserve"> relating to Netball Australia, the Special Olympics Asia Pacific Games, and a number of small regional sporting infrastructure projects</w:t>
      </w:r>
      <w:r w:rsidRPr="003D7BE6">
        <w:rPr>
          <w:szCs w:val="20"/>
        </w:rPr>
        <w:t>.</w:t>
      </w:r>
    </w:p>
    <w:p w:rsidR="00C00446" w:rsidRPr="003D7BE6" w:rsidRDefault="00C00446" w:rsidP="003D7BE6">
      <w:pPr>
        <w:spacing w:after="0"/>
        <w:rPr>
          <w:b/>
          <w:bCs/>
          <w:i/>
          <w:smallCaps/>
          <w:snapToGrid w:val="0"/>
          <w:color w:val="000000"/>
          <w:sz w:val="26"/>
          <w:szCs w:val="26"/>
        </w:rPr>
      </w:pPr>
      <w:r w:rsidRPr="003D7BE6">
        <w:br w:type="page"/>
      </w:r>
    </w:p>
    <w:p w:rsidR="003D7BE6" w:rsidRPr="003D7BE6" w:rsidRDefault="00CB70F1" w:rsidP="00BB667F">
      <w:pPr>
        <w:pStyle w:val="Heading1"/>
      </w:pPr>
      <w:bookmarkStart w:id="37" w:name="_Toc379748705"/>
      <w:r>
        <w:lastRenderedPageBreak/>
        <w:t xml:space="preserve">ATTACHMENT: </w:t>
      </w:r>
      <w:r w:rsidR="003D7BE6" w:rsidRPr="003D7BE6">
        <w:t>Independent review report</w:t>
      </w:r>
      <w:r w:rsidR="003014AB">
        <w:t xml:space="preserve"> – ANAO</w:t>
      </w:r>
      <w:bookmarkEnd w:id="37"/>
    </w:p>
    <w:p w:rsidR="0013771C" w:rsidRPr="003D7BE6" w:rsidRDefault="002A37D5" w:rsidP="00690BE1">
      <w:pPr>
        <w:pStyle w:val="Heading3"/>
      </w:pPr>
      <w:r w:rsidRPr="003D7BE6">
        <w:rPr>
          <w:noProof/>
          <w:snapToGrid/>
          <w:lang w:eastAsia="en-AU"/>
        </w:rPr>
        <w:drawing>
          <wp:inline distT="0" distB="0" distL="0" distR="0">
            <wp:extent cx="6009683" cy="8369928"/>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l="27189" t="9060" r="25259" b="3088"/>
                    <a:stretch>
                      <a:fillRect/>
                    </a:stretch>
                  </pic:blipFill>
                  <pic:spPr bwMode="auto">
                    <a:xfrm>
                      <a:off x="0" y="0"/>
                      <a:ext cx="6010497" cy="8371062"/>
                    </a:xfrm>
                    <a:prstGeom prst="rect">
                      <a:avLst/>
                    </a:prstGeom>
                    <a:noFill/>
                    <a:ln w="9525">
                      <a:noFill/>
                      <a:miter lim="800000"/>
                      <a:headEnd/>
                      <a:tailEnd/>
                    </a:ln>
                  </pic:spPr>
                </pic:pic>
              </a:graphicData>
            </a:graphic>
          </wp:inline>
        </w:drawing>
      </w:r>
    </w:p>
    <w:p w:rsidR="00144B4C" w:rsidRPr="003D7BE6" w:rsidRDefault="00144B4C" w:rsidP="003D7BE6">
      <w:pPr>
        <w:autoSpaceDE w:val="0"/>
        <w:autoSpaceDN w:val="0"/>
        <w:adjustRightInd w:val="0"/>
        <w:spacing w:after="0"/>
        <w:rPr>
          <w:sz w:val="2"/>
          <w:szCs w:val="2"/>
          <w:lang w:eastAsia="en-AU"/>
        </w:rPr>
      </w:pPr>
    </w:p>
    <w:p w:rsidR="00144B4C" w:rsidRPr="003D7BE6" w:rsidRDefault="00144B4C" w:rsidP="003D7BE6">
      <w:r w:rsidRPr="003D7BE6">
        <w:rPr>
          <w:noProof/>
          <w:lang w:eastAsia="en-AU"/>
        </w:rPr>
        <w:lastRenderedPageBreak/>
        <w:drawing>
          <wp:inline distT="0" distB="0" distL="0" distR="0">
            <wp:extent cx="6230854" cy="89288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l="27446" t="9402" r="25517" b="1193"/>
                    <a:stretch>
                      <a:fillRect/>
                    </a:stretch>
                  </pic:blipFill>
                  <pic:spPr bwMode="auto">
                    <a:xfrm>
                      <a:off x="0" y="0"/>
                      <a:ext cx="6231343" cy="8929596"/>
                    </a:xfrm>
                    <a:prstGeom prst="rect">
                      <a:avLst/>
                    </a:prstGeom>
                    <a:noFill/>
                    <a:ln w="9525">
                      <a:noFill/>
                      <a:miter lim="800000"/>
                      <a:headEnd/>
                      <a:tailEnd/>
                    </a:ln>
                  </pic:spPr>
                </pic:pic>
              </a:graphicData>
            </a:graphic>
          </wp:inline>
        </w:drawing>
      </w:r>
    </w:p>
    <w:sectPr w:rsidR="00144B4C" w:rsidRPr="003D7BE6" w:rsidSect="00DC0948">
      <w:footerReference w:type="default" r:id="rId24"/>
      <w:headerReference w:type="first" r:id="rId25"/>
      <w:footerReference w:type="first" r:id="rId26"/>
      <w:pgSz w:w="11907" w:h="16840" w:code="9"/>
      <w:pgMar w:top="1245" w:right="1418" w:bottom="1134" w:left="1418" w:header="1134" w:footer="1134"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28" w:rsidRDefault="00186028">
      <w:r>
        <w:separator/>
      </w:r>
    </w:p>
    <w:p w:rsidR="00186028" w:rsidRDefault="00186028"/>
  </w:endnote>
  <w:endnote w:type="continuationSeparator" w:id="0">
    <w:p w:rsidR="00186028" w:rsidRDefault="00186028">
      <w:r>
        <w:continuationSeparator/>
      </w:r>
    </w:p>
    <w:p w:rsidR="00186028" w:rsidRDefault="0018602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1D" w:rsidRPr="00D009E0" w:rsidRDefault="007A5D1D" w:rsidP="00D009E0">
    <w:pPr>
      <w:widowControl w:val="0"/>
      <w:pBdr>
        <w:top w:val="single" w:sz="4" w:space="1" w:color="auto"/>
      </w:pBdr>
      <w:tabs>
        <w:tab w:val="right" w:pos="9072"/>
      </w:tabs>
      <w:spacing w:after="0"/>
      <w:jc w:val="center"/>
      <w:rPr>
        <w:i/>
        <w:sz w:val="20"/>
        <w:szCs w:val="20"/>
      </w:rPr>
    </w:pPr>
    <w:r w:rsidRPr="00D009E0">
      <w:rPr>
        <w:i/>
        <w:sz w:val="20"/>
        <w:szCs w:val="20"/>
      </w:rPr>
      <w:t>Report on advances provided under the annual Appropriation Acts for the year ended 30 June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1D" w:rsidRPr="0098472A" w:rsidRDefault="007A5D1D" w:rsidP="0098472A">
    <w:pPr>
      <w:widowControl w:val="0"/>
      <w:pBdr>
        <w:top w:val="single" w:sz="4" w:space="1" w:color="auto"/>
      </w:pBdr>
      <w:tabs>
        <w:tab w:val="right" w:pos="9072"/>
      </w:tabs>
      <w:spacing w:after="0"/>
      <w:rPr>
        <w:i/>
        <w:sz w:val="18"/>
        <w:szCs w:val="18"/>
      </w:rPr>
    </w:pPr>
    <w:r w:rsidRPr="008911A8">
      <w:rPr>
        <w:i/>
        <w:sz w:val="18"/>
        <w:szCs w:val="18"/>
      </w:rPr>
      <w:t>Report on advances provided under the annual Appropriation Acts for the year ended 30 June 2013</w:t>
    </w:r>
    <w:r>
      <w:rPr>
        <w:i/>
        <w:sz w:val="18"/>
        <w:szCs w:val="18"/>
      </w:rPr>
      <w:tab/>
    </w:r>
    <w:r w:rsidR="008442D7" w:rsidRPr="0098472A">
      <w:rPr>
        <w:sz w:val="18"/>
        <w:szCs w:val="18"/>
      </w:rPr>
      <w:fldChar w:fldCharType="begin"/>
    </w:r>
    <w:r w:rsidRPr="0098472A">
      <w:rPr>
        <w:sz w:val="18"/>
        <w:szCs w:val="18"/>
      </w:rPr>
      <w:instrText xml:space="preserve"> PAGE  \* Arabic  \* MERGEFORMAT </w:instrText>
    </w:r>
    <w:r w:rsidR="008442D7" w:rsidRPr="0098472A">
      <w:rPr>
        <w:sz w:val="18"/>
        <w:szCs w:val="18"/>
      </w:rPr>
      <w:fldChar w:fldCharType="separate"/>
    </w:r>
    <w:r w:rsidR="00724037">
      <w:rPr>
        <w:noProof/>
        <w:sz w:val="18"/>
        <w:szCs w:val="18"/>
      </w:rPr>
      <w:t>9</w:t>
    </w:r>
    <w:r w:rsidR="008442D7" w:rsidRPr="0098472A">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1D" w:rsidRPr="00D009E0" w:rsidRDefault="007A5D1D" w:rsidP="0098472A">
    <w:pPr>
      <w:widowControl w:val="0"/>
      <w:pBdr>
        <w:top w:val="single" w:sz="4" w:space="1" w:color="auto"/>
      </w:pBdr>
      <w:tabs>
        <w:tab w:val="right" w:pos="9072"/>
      </w:tabs>
      <w:spacing w:after="0"/>
      <w:rPr>
        <w:i/>
        <w:sz w:val="20"/>
        <w:szCs w:val="20"/>
      </w:rPr>
    </w:pPr>
    <w:r w:rsidRPr="00D009E0">
      <w:rPr>
        <w:i/>
        <w:sz w:val="20"/>
        <w:szCs w:val="20"/>
      </w:rPr>
      <w:t>Report on advances provided under the annual Appropriation Acts for the year ended 30 June 2013</w:t>
    </w:r>
    <w:r w:rsidRPr="00D009E0">
      <w:rPr>
        <w:i/>
        <w:sz w:val="20"/>
        <w:szCs w:val="20"/>
      </w:rPr>
      <w:tab/>
    </w:r>
    <w:r w:rsidR="008442D7" w:rsidRPr="00D009E0">
      <w:rPr>
        <w:sz w:val="20"/>
        <w:szCs w:val="20"/>
      </w:rPr>
      <w:fldChar w:fldCharType="begin"/>
    </w:r>
    <w:r w:rsidRPr="00D009E0">
      <w:rPr>
        <w:sz w:val="20"/>
        <w:szCs w:val="20"/>
      </w:rPr>
      <w:instrText xml:space="preserve"> PAGE  \* Arabic  \* MERGEFORMAT </w:instrText>
    </w:r>
    <w:r w:rsidR="008442D7" w:rsidRPr="00D009E0">
      <w:rPr>
        <w:sz w:val="20"/>
        <w:szCs w:val="20"/>
      </w:rPr>
      <w:fldChar w:fldCharType="separate"/>
    </w:r>
    <w:r w:rsidR="00724037">
      <w:rPr>
        <w:noProof/>
        <w:sz w:val="20"/>
        <w:szCs w:val="20"/>
      </w:rPr>
      <w:t>1</w:t>
    </w:r>
    <w:r w:rsidR="008442D7" w:rsidRPr="00D009E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28" w:rsidRDefault="00186028">
      <w:r>
        <w:separator/>
      </w:r>
    </w:p>
    <w:p w:rsidR="00186028" w:rsidRDefault="00186028"/>
  </w:footnote>
  <w:footnote w:type="continuationSeparator" w:id="0">
    <w:p w:rsidR="00186028" w:rsidRDefault="00186028">
      <w:r>
        <w:continuationSeparator/>
      </w:r>
    </w:p>
    <w:p w:rsidR="00186028" w:rsidRDefault="001860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1D" w:rsidRPr="00C9348B" w:rsidRDefault="007A5D1D" w:rsidP="00C9348B">
    <w:pPr>
      <w:widowControl w:val="0"/>
      <w:spacing w:after="0"/>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1D" w:rsidRPr="00B52701" w:rsidRDefault="007A5D1D" w:rsidP="00B52701">
    <w:pPr>
      <w:pStyle w:val="Header"/>
      <w:spacing w:after="0" w:line="60" w:lineRule="exact"/>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3CFA10"/>
    <w:lvl w:ilvl="0">
      <w:start w:val="1"/>
      <w:numFmt w:val="decimal"/>
      <w:lvlText w:val="%1."/>
      <w:lvlJc w:val="left"/>
      <w:pPr>
        <w:tabs>
          <w:tab w:val="num" w:pos="1492"/>
        </w:tabs>
        <w:ind w:left="1492" w:hanging="360"/>
      </w:pPr>
    </w:lvl>
  </w:abstractNum>
  <w:abstractNum w:abstractNumId="1">
    <w:nsid w:val="FFFFFF7D"/>
    <w:multiLevelType w:val="singleLevel"/>
    <w:tmpl w:val="89BC5ECA"/>
    <w:lvl w:ilvl="0">
      <w:start w:val="1"/>
      <w:numFmt w:val="decimal"/>
      <w:lvlText w:val="%1."/>
      <w:lvlJc w:val="left"/>
      <w:pPr>
        <w:tabs>
          <w:tab w:val="num" w:pos="1209"/>
        </w:tabs>
        <w:ind w:left="1209" w:hanging="360"/>
      </w:pPr>
    </w:lvl>
  </w:abstractNum>
  <w:abstractNum w:abstractNumId="2">
    <w:nsid w:val="FFFFFF7E"/>
    <w:multiLevelType w:val="singleLevel"/>
    <w:tmpl w:val="1F625E20"/>
    <w:lvl w:ilvl="0">
      <w:start w:val="1"/>
      <w:numFmt w:val="decimal"/>
      <w:lvlText w:val="%1."/>
      <w:lvlJc w:val="left"/>
      <w:pPr>
        <w:tabs>
          <w:tab w:val="num" w:pos="926"/>
        </w:tabs>
        <w:ind w:left="926" w:hanging="360"/>
      </w:pPr>
    </w:lvl>
  </w:abstractNum>
  <w:abstractNum w:abstractNumId="3">
    <w:nsid w:val="FFFFFF7F"/>
    <w:multiLevelType w:val="singleLevel"/>
    <w:tmpl w:val="FCB20318"/>
    <w:lvl w:ilvl="0">
      <w:start w:val="1"/>
      <w:numFmt w:val="decimal"/>
      <w:lvlText w:val="%1."/>
      <w:lvlJc w:val="left"/>
      <w:pPr>
        <w:tabs>
          <w:tab w:val="num" w:pos="643"/>
        </w:tabs>
        <w:ind w:left="643" w:hanging="360"/>
      </w:pPr>
    </w:lvl>
  </w:abstractNum>
  <w:abstractNum w:abstractNumId="4">
    <w:nsid w:val="FFFFFF80"/>
    <w:multiLevelType w:val="singleLevel"/>
    <w:tmpl w:val="94F64A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260B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44C9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A631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E65D68"/>
    <w:lvl w:ilvl="0">
      <w:start w:val="1"/>
      <w:numFmt w:val="decimal"/>
      <w:lvlText w:val="%1."/>
      <w:lvlJc w:val="left"/>
      <w:pPr>
        <w:tabs>
          <w:tab w:val="num" w:pos="360"/>
        </w:tabs>
        <w:ind w:left="360" w:hanging="360"/>
      </w:pPr>
    </w:lvl>
  </w:abstractNum>
  <w:abstractNum w:abstractNumId="9">
    <w:nsid w:val="FFFFFF89"/>
    <w:multiLevelType w:val="singleLevel"/>
    <w:tmpl w:val="7BDC307A"/>
    <w:lvl w:ilvl="0">
      <w:start w:val="1"/>
      <w:numFmt w:val="bullet"/>
      <w:lvlText w:val=""/>
      <w:lvlJc w:val="left"/>
      <w:pPr>
        <w:tabs>
          <w:tab w:val="num" w:pos="360"/>
        </w:tabs>
        <w:ind w:left="360" w:hanging="360"/>
      </w:pPr>
      <w:rPr>
        <w:rFonts w:ascii="Symbol" w:hAnsi="Symbol" w:hint="default"/>
      </w:rPr>
    </w:lvl>
  </w:abstractNum>
  <w:abstractNum w:abstractNumId="10">
    <w:nsid w:val="010B4081"/>
    <w:multiLevelType w:val="hybridMultilevel"/>
    <w:tmpl w:val="A4F2420E"/>
    <w:lvl w:ilvl="0" w:tplc="4A368CD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03686CF0"/>
    <w:multiLevelType w:val="hybridMultilevel"/>
    <w:tmpl w:val="8CE221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223F38"/>
    <w:multiLevelType w:val="hybridMultilevel"/>
    <w:tmpl w:val="FBD8349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08943C3F"/>
    <w:multiLevelType w:val="hybridMultilevel"/>
    <w:tmpl w:val="2194735C"/>
    <w:lvl w:ilvl="0" w:tplc="FD6A53DA">
      <w:start w:val="1"/>
      <w:numFmt w:val="bullet"/>
      <w:pStyle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ECA01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13A169C"/>
    <w:multiLevelType w:val="multilevel"/>
    <w:tmpl w:val="916A1328"/>
    <w:lvl w:ilvl="0">
      <w:start w:val="1"/>
      <w:numFmt w:val="decimal"/>
      <w:lvlText w:val="%1)"/>
      <w:lvlJc w:val="left"/>
      <w:pPr>
        <w:tabs>
          <w:tab w:val="num" w:pos="360"/>
        </w:tabs>
        <w:ind w:left="360" w:hanging="360"/>
      </w:pPr>
      <w:rPr>
        <w:rFonts w:ascii="Arial" w:eastAsia="Times New Roman" w:hAnsi="Arial"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3F31181"/>
    <w:multiLevelType w:val="hybridMultilevel"/>
    <w:tmpl w:val="8514C94E"/>
    <w:lvl w:ilvl="0" w:tplc="6526E86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9C3F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9">
    <w:nsid w:val="1A9B500F"/>
    <w:multiLevelType w:val="hybridMultilevel"/>
    <w:tmpl w:val="0DDAB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AA96C4F"/>
    <w:multiLevelType w:val="hybridMultilevel"/>
    <w:tmpl w:val="E15879B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BD149C7"/>
    <w:multiLevelType w:val="hybridMultilevel"/>
    <w:tmpl w:val="278EB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44237C5"/>
    <w:multiLevelType w:val="multilevel"/>
    <w:tmpl w:val="F0BE3518"/>
    <w:lvl w:ilvl="0">
      <w:start w:val="1"/>
      <w:numFmt w:val="decimal"/>
      <w:lvlRestart w:val="0"/>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nsid w:val="268E4602"/>
    <w:multiLevelType w:val="hybridMultilevel"/>
    <w:tmpl w:val="0DF014A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27440C8B"/>
    <w:multiLevelType w:val="multilevel"/>
    <w:tmpl w:val="69543D5A"/>
    <w:lvl w:ilvl="0">
      <w:start w:val="1"/>
      <w:numFmt w:val="bullet"/>
      <w:lvlRestart w:val="0"/>
      <w:lvlText w:val="•"/>
      <w:lvlJc w:val="left"/>
      <w:pPr>
        <w:tabs>
          <w:tab w:val="num" w:pos="284"/>
        </w:tabs>
        <w:ind w:left="284" w:hanging="284"/>
      </w:pPr>
      <w:rPr>
        <w:rFonts w:ascii="Book Antiqua" w:hAnsi="Book Antiqua" w:hint="default"/>
        <w:b w:val="0"/>
        <w:i w:val="0"/>
        <w:position w:val="0"/>
        <w:sz w:val="18"/>
        <w:szCs w:val="18"/>
      </w:rPr>
    </w:lvl>
    <w:lvl w:ilvl="1">
      <w:start w:val="1"/>
      <w:numFmt w:val="bullet"/>
      <w:lvlText w:val="–"/>
      <w:lvlJc w:val="left"/>
      <w:pPr>
        <w:tabs>
          <w:tab w:val="num" w:pos="1133"/>
        </w:tabs>
        <w:ind w:left="1133" w:hanging="284"/>
      </w:pPr>
      <w:rPr>
        <w:rFonts w:ascii="Book Antiqua" w:hAnsi="Book Antiqua" w:cs="Times New Roman" w:hint="default"/>
        <w:b w:val="0"/>
        <w:i w:val="0"/>
        <w:position w:val="0"/>
        <w:sz w:val="18"/>
        <w:szCs w:val="18"/>
      </w:rPr>
    </w:lvl>
    <w:lvl w:ilvl="2">
      <w:start w:val="1"/>
      <w:numFmt w:val="bullet"/>
      <w:lvlText w:val=":"/>
      <w:lvlJc w:val="left"/>
      <w:pPr>
        <w:tabs>
          <w:tab w:val="num" w:pos="1416"/>
        </w:tabs>
        <w:ind w:left="1416" w:hanging="283"/>
      </w:pPr>
      <w:rPr>
        <w:rFonts w:ascii="Book Antiqua" w:hAnsi="Book Antiqua" w:cs="Times New Roman" w:hint="default"/>
        <w:b w:val="0"/>
        <w:i w:val="0"/>
        <w:position w:val="0"/>
        <w:sz w:val="18"/>
        <w:szCs w:val="18"/>
      </w:rPr>
    </w:lvl>
    <w:lvl w:ilvl="3">
      <w:start w:val="1"/>
      <w:numFmt w:val="decimal"/>
      <w:lvlText w:val="(%4)"/>
      <w:lvlJc w:val="left"/>
      <w:pPr>
        <w:tabs>
          <w:tab w:val="num" w:pos="2006"/>
        </w:tabs>
        <w:ind w:left="2006" w:hanging="360"/>
      </w:pPr>
      <w:rPr>
        <w:rFonts w:hint="default"/>
        <w:b w:val="0"/>
        <w:i w:val="0"/>
      </w:rPr>
    </w:lvl>
    <w:lvl w:ilvl="4">
      <w:start w:val="1"/>
      <w:numFmt w:val="lowerLetter"/>
      <w:lvlText w:val="(%5)"/>
      <w:lvlJc w:val="left"/>
      <w:pPr>
        <w:tabs>
          <w:tab w:val="num" w:pos="2366"/>
        </w:tabs>
        <w:ind w:left="2366" w:hanging="360"/>
      </w:pPr>
      <w:rPr>
        <w:rFonts w:hint="default"/>
        <w:b w:val="0"/>
        <w:i w:val="0"/>
      </w:rPr>
    </w:lvl>
    <w:lvl w:ilvl="5">
      <w:start w:val="1"/>
      <w:numFmt w:val="lowerRoman"/>
      <w:lvlText w:val="(%6)"/>
      <w:lvlJc w:val="left"/>
      <w:pPr>
        <w:tabs>
          <w:tab w:val="num" w:pos="2726"/>
        </w:tabs>
        <w:ind w:left="2726" w:hanging="360"/>
      </w:pPr>
      <w:rPr>
        <w:rFonts w:hint="default"/>
        <w:b w:val="0"/>
        <w:i w:val="0"/>
      </w:rPr>
    </w:lvl>
    <w:lvl w:ilvl="6">
      <w:start w:val="1"/>
      <w:numFmt w:val="decimal"/>
      <w:lvlText w:val="%7."/>
      <w:lvlJc w:val="left"/>
      <w:pPr>
        <w:tabs>
          <w:tab w:val="num" w:pos="3086"/>
        </w:tabs>
        <w:ind w:left="3086" w:hanging="360"/>
      </w:pPr>
      <w:rPr>
        <w:rFonts w:hint="default"/>
        <w:b w:val="0"/>
        <w:i w:val="0"/>
      </w:rPr>
    </w:lvl>
    <w:lvl w:ilvl="7">
      <w:start w:val="1"/>
      <w:numFmt w:val="lowerLetter"/>
      <w:lvlText w:val="%8."/>
      <w:lvlJc w:val="left"/>
      <w:pPr>
        <w:tabs>
          <w:tab w:val="num" w:pos="3446"/>
        </w:tabs>
        <w:ind w:left="3446" w:hanging="360"/>
      </w:pPr>
      <w:rPr>
        <w:rFonts w:hint="default"/>
        <w:b w:val="0"/>
        <w:i w:val="0"/>
      </w:rPr>
    </w:lvl>
    <w:lvl w:ilvl="8">
      <w:start w:val="1"/>
      <w:numFmt w:val="lowerRoman"/>
      <w:lvlText w:val="%9."/>
      <w:lvlJc w:val="left"/>
      <w:pPr>
        <w:tabs>
          <w:tab w:val="num" w:pos="3806"/>
        </w:tabs>
        <w:ind w:left="3806" w:hanging="360"/>
      </w:pPr>
      <w:rPr>
        <w:rFonts w:hint="default"/>
        <w:b w:val="0"/>
        <w:i w:val="0"/>
      </w:rPr>
    </w:lvl>
  </w:abstractNum>
  <w:abstractNum w:abstractNumId="25">
    <w:nsid w:val="29C93C1F"/>
    <w:multiLevelType w:val="hybridMultilevel"/>
    <w:tmpl w:val="5294641A"/>
    <w:lvl w:ilvl="0" w:tplc="9AC884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nsid w:val="2D665DFA"/>
    <w:multiLevelType w:val="singleLevel"/>
    <w:tmpl w:val="57F484DC"/>
    <w:name w:val="OneLevelAlphaParagraphList"/>
    <w:lvl w:ilvl="0">
      <w:start w:val="1"/>
      <w:numFmt w:val="lowerLetter"/>
      <w:lvlRestart w:val="0"/>
      <w:lvlText w:val="(%1)"/>
      <w:lvlJc w:val="left"/>
      <w:pPr>
        <w:tabs>
          <w:tab w:val="num" w:pos="567"/>
        </w:tabs>
        <w:ind w:left="567" w:hanging="567"/>
      </w:pPr>
      <w:rPr>
        <w:rFonts w:ascii="Book Antiqua" w:hAnsi="Book Antiqua" w:hint="default"/>
        <w:b w:val="0"/>
        <w:i w:val="0"/>
        <w:sz w:val="20"/>
      </w:rPr>
    </w:lvl>
  </w:abstractNum>
  <w:abstractNum w:abstractNumId="27">
    <w:nsid w:val="355959DF"/>
    <w:multiLevelType w:val="hybridMultilevel"/>
    <w:tmpl w:val="2410ED8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436F352D"/>
    <w:multiLevelType w:val="hybridMultilevel"/>
    <w:tmpl w:val="DAE66D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8101827"/>
    <w:multiLevelType w:val="multilevel"/>
    <w:tmpl w:val="28CED3EC"/>
    <w:lvl w:ilvl="0">
      <w:start w:val="1"/>
      <w:numFmt w:val="bullet"/>
      <w:lvlRestart w:val="0"/>
      <w:lvlText w:val="•"/>
      <w:lvlJc w:val="left"/>
      <w:pPr>
        <w:tabs>
          <w:tab w:val="num" w:pos="284"/>
        </w:tabs>
        <w:ind w:left="284" w:hanging="284"/>
      </w:pPr>
      <w:rPr>
        <w:rFonts w:ascii="Book Antiqua" w:hAnsi="Book Antiqua" w:hint="default"/>
        <w:b w:val="0"/>
        <w:i w:val="0"/>
        <w:position w:val="0"/>
        <w:sz w:val="18"/>
      </w:rPr>
    </w:lvl>
    <w:lvl w:ilvl="1">
      <w:start w:val="1"/>
      <w:numFmt w:val="bullet"/>
      <w:lvlText w:val="–"/>
      <w:lvlJc w:val="left"/>
      <w:pPr>
        <w:tabs>
          <w:tab w:val="num" w:pos="850"/>
        </w:tabs>
        <w:ind w:left="850" w:hanging="284"/>
      </w:pPr>
      <w:rPr>
        <w:rFonts w:ascii="Book Antiqua" w:hAnsi="Book Antiqua" w:hint="default"/>
        <w:b w:val="0"/>
        <w:i w:val="0"/>
        <w:position w:val="0"/>
        <w:sz w:val="18"/>
      </w:rPr>
    </w:lvl>
    <w:lvl w:ilvl="2">
      <w:start w:val="1"/>
      <w:numFmt w:val="bullet"/>
      <w:lvlText w:val=":"/>
      <w:lvlJc w:val="left"/>
      <w:pPr>
        <w:tabs>
          <w:tab w:val="num" w:pos="1133"/>
        </w:tabs>
        <w:ind w:left="1133" w:hanging="283"/>
      </w:pPr>
      <w:rPr>
        <w:rFonts w:ascii="Book Antiqua" w:hAnsi="Book Antiqua" w:hint="default"/>
        <w:b w:val="0"/>
        <w:i w:val="0"/>
        <w:position w:val="0"/>
        <w:sz w:val="18"/>
        <w:szCs w:val="18"/>
      </w:rPr>
    </w:lvl>
    <w:lvl w:ilvl="3">
      <w:start w:val="1"/>
      <w:numFmt w:val="decimal"/>
      <w:lvlText w:val="(%4)"/>
      <w:lvlJc w:val="left"/>
      <w:pPr>
        <w:tabs>
          <w:tab w:val="num" w:pos="1723"/>
        </w:tabs>
        <w:ind w:left="1723" w:hanging="360"/>
      </w:pPr>
      <w:rPr>
        <w:rFonts w:hint="default"/>
        <w:b w:val="0"/>
        <w:i w:val="0"/>
      </w:rPr>
    </w:lvl>
    <w:lvl w:ilvl="4">
      <w:start w:val="1"/>
      <w:numFmt w:val="lowerLetter"/>
      <w:lvlText w:val="(%5)"/>
      <w:lvlJc w:val="left"/>
      <w:pPr>
        <w:tabs>
          <w:tab w:val="num" w:pos="2083"/>
        </w:tabs>
        <w:ind w:left="2083" w:hanging="360"/>
      </w:pPr>
      <w:rPr>
        <w:rFonts w:hint="default"/>
        <w:b w:val="0"/>
        <w:i w:val="0"/>
      </w:rPr>
    </w:lvl>
    <w:lvl w:ilvl="5">
      <w:start w:val="1"/>
      <w:numFmt w:val="lowerRoman"/>
      <w:lvlText w:val="(%6)"/>
      <w:lvlJc w:val="left"/>
      <w:pPr>
        <w:tabs>
          <w:tab w:val="num" w:pos="2443"/>
        </w:tabs>
        <w:ind w:left="2443" w:hanging="360"/>
      </w:pPr>
      <w:rPr>
        <w:rFonts w:hint="default"/>
        <w:b w:val="0"/>
        <w:i w:val="0"/>
      </w:rPr>
    </w:lvl>
    <w:lvl w:ilvl="6">
      <w:start w:val="1"/>
      <w:numFmt w:val="decimal"/>
      <w:lvlText w:val="%7."/>
      <w:lvlJc w:val="left"/>
      <w:pPr>
        <w:tabs>
          <w:tab w:val="num" w:pos="2803"/>
        </w:tabs>
        <w:ind w:left="2803" w:hanging="360"/>
      </w:pPr>
      <w:rPr>
        <w:rFonts w:hint="default"/>
        <w:b w:val="0"/>
        <w:i w:val="0"/>
      </w:rPr>
    </w:lvl>
    <w:lvl w:ilvl="7">
      <w:start w:val="1"/>
      <w:numFmt w:val="lowerLetter"/>
      <w:lvlText w:val="%8."/>
      <w:lvlJc w:val="left"/>
      <w:pPr>
        <w:tabs>
          <w:tab w:val="num" w:pos="3163"/>
        </w:tabs>
        <w:ind w:left="3163" w:hanging="360"/>
      </w:pPr>
      <w:rPr>
        <w:rFonts w:hint="default"/>
        <w:b w:val="0"/>
        <w:i w:val="0"/>
      </w:rPr>
    </w:lvl>
    <w:lvl w:ilvl="8">
      <w:start w:val="1"/>
      <w:numFmt w:val="lowerRoman"/>
      <w:lvlText w:val="%9."/>
      <w:lvlJc w:val="left"/>
      <w:pPr>
        <w:tabs>
          <w:tab w:val="num" w:pos="3523"/>
        </w:tabs>
        <w:ind w:left="3523" w:hanging="360"/>
      </w:pPr>
      <w:rPr>
        <w:rFonts w:hint="default"/>
        <w:b w:val="0"/>
        <w:i w:val="0"/>
      </w:rPr>
    </w:lvl>
  </w:abstractNum>
  <w:abstractNum w:abstractNumId="30">
    <w:nsid w:val="5DA01537"/>
    <w:multiLevelType w:val="multilevel"/>
    <w:tmpl w:val="FBD834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65EE3322"/>
    <w:multiLevelType w:val="singleLevel"/>
    <w:tmpl w:val="6942784E"/>
    <w:lvl w:ilvl="0">
      <w:start w:val="1"/>
      <w:numFmt w:val="bullet"/>
      <w:lvlText w:val=""/>
      <w:lvlJc w:val="left"/>
      <w:pPr>
        <w:tabs>
          <w:tab w:val="num" w:pos="357"/>
        </w:tabs>
        <w:ind w:left="283" w:hanging="283"/>
      </w:pPr>
      <w:rPr>
        <w:rFonts w:ascii="Symbol" w:hAnsi="Symbol" w:hint="default"/>
        <w:caps w:val="0"/>
        <w:strike w:val="0"/>
        <w:dstrike w:val="0"/>
        <w:outline w:val="0"/>
        <w:shadow w:val="0"/>
        <w:emboss w:val="0"/>
        <w:imprint w:val="0"/>
        <w:vanish w:val="0"/>
        <w:color w:val="auto"/>
        <w:sz w:val="16"/>
        <w:vertAlign w:val="baseline"/>
      </w:rPr>
    </w:lvl>
  </w:abstractNum>
  <w:abstractNum w:abstractNumId="32">
    <w:nsid w:val="66022277"/>
    <w:multiLevelType w:val="singleLevel"/>
    <w:tmpl w:val="51BE556C"/>
    <w:name w:val="AlphaChartTableFootnoteList"/>
    <w:lvl w:ilvl="0">
      <w:start w:val="1"/>
      <w:numFmt w:val="lowerLetter"/>
      <w:lvlRestart w:val="0"/>
      <w:lvlText w:val="(%1)"/>
      <w:lvlJc w:val="left"/>
      <w:pPr>
        <w:tabs>
          <w:tab w:val="num" w:pos="283"/>
        </w:tabs>
        <w:ind w:left="283" w:hanging="283"/>
      </w:pPr>
      <w:rPr>
        <w:rFonts w:ascii="Arial" w:hAnsi="Arial" w:cs="Arial" w:hint="default"/>
        <w:b w:val="0"/>
        <w:i w:val="0"/>
      </w:rPr>
    </w:lvl>
  </w:abstractNum>
  <w:abstractNum w:abstractNumId="33">
    <w:nsid w:val="6D4E297F"/>
    <w:multiLevelType w:val="hybridMultilevel"/>
    <w:tmpl w:val="30605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73193A"/>
    <w:multiLevelType w:val="hybridMultilevel"/>
    <w:tmpl w:val="D6C29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F9450DE"/>
    <w:multiLevelType w:val="multilevel"/>
    <w:tmpl w:val="A4F242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6FD20A93"/>
    <w:multiLevelType w:val="singleLevel"/>
    <w:tmpl w:val="B470B5FA"/>
    <w:name w:val="AlphaChartTableFootnoteSmallList"/>
    <w:lvl w:ilvl="0">
      <w:start w:val="1"/>
      <w:numFmt w:val="lowerLetter"/>
      <w:lvlRestart w:val="0"/>
      <w:lvlText w:val="(%1)"/>
      <w:lvlJc w:val="left"/>
      <w:pPr>
        <w:tabs>
          <w:tab w:val="num" w:pos="283"/>
        </w:tabs>
        <w:ind w:left="283" w:hanging="283"/>
      </w:pPr>
      <w:rPr>
        <w:rFonts w:ascii="Arial" w:hAnsi="Arial" w:cs="Arial"/>
        <w:b w:val="0"/>
        <w:i w:val="0"/>
        <w:sz w:val="15"/>
      </w:rPr>
    </w:lvl>
  </w:abstractNum>
  <w:abstractNum w:abstractNumId="37">
    <w:nsid w:val="7FC45F8E"/>
    <w:multiLevelType w:val="hybridMultilevel"/>
    <w:tmpl w:val="0FA6C370"/>
    <w:lvl w:ilvl="0" w:tplc="6526E86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7"/>
  </w:num>
  <w:num w:numId="4">
    <w:abstractNumId w:val="15"/>
  </w:num>
  <w:num w:numId="5">
    <w:abstractNumId w:val="12"/>
  </w:num>
  <w:num w:numId="6">
    <w:abstractNumId w:val="30"/>
  </w:num>
  <w:num w:numId="7">
    <w:abstractNumId w:val="10"/>
  </w:num>
  <w:num w:numId="8">
    <w:abstractNumId w:val="35"/>
  </w:num>
  <w:num w:numId="9">
    <w:abstractNumId w:val="25"/>
  </w:num>
  <w:num w:numId="10">
    <w:abstractNumId w:val="26"/>
  </w:num>
  <w:num w:numId="11">
    <w:abstractNumId w:val="29"/>
  </w:num>
  <w:num w:numId="12">
    <w:abstractNumId w:val="24"/>
  </w:num>
  <w:num w:numId="13">
    <w:abstractNumId w:val="32"/>
  </w:num>
  <w:num w:numId="14">
    <w:abstractNumId w:val="36"/>
  </w:num>
  <w:num w:numId="15">
    <w:abstractNumId w:val="18"/>
  </w:num>
  <w:num w:numId="16">
    <w:abstractNumId w:val="22"/>
  </w:num>
  <w:num w:numId="17">
    <w:abstractNumId w:val="7"/>
  </w:num>
  <w:num w:numId="18">
    <w:abstractNumId w:val="22"/>
  </w:num>
  <w:num w:numId="19">
    <w:abstractNumId w:val="22"/>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9"/>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 w:numId="33">
    <w:abstractNumId w:val="33"/>
  </w:num>
  <w:num w:numId="34">
    <w:abstractNumId w:val="37"/>
  </w:num>
  <w:num w:numId="35">
    <w:abstractNumId w:val="16"/>
  </w:num>
  <w:num w:numId="36">
    <w:abstractNumId w:val="28"/>
  </w:num>
  <w:num w:numId="37">
    <w:abstractNumId w:val="27"/>
  </w:num>
  <w:num w:numId="38">
    <w:abstractNumId w:val="34"/>
  </w:num>
  <w:num w:numId="39">
    <w:abstractNumId w:val="21"/>
  </w:num>
  <w:num w:numId="40">
    <w:abstractNumId w:val="19"/>
  </w:num>
  <w:num w:numId="41">
    <w:abstractNumId w:val="11"/>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removePersonalInformation/>
  <w:proofState w:spelling="clean" w:grammar="clean"/>
  <w:stylePaneFormatFilter w:val="3F01"/>
  <w:doNotTrackFormatting/>
  <w:defaultTabStop w:val="567"/>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rsids>
    <w:rsidRoot w:val="008E347D"/>
    <w:rsid w:val="000036F0"/>
    <w:rsid w:val="00005DE7"/>
    <w:rsid w:val="00010D37"/>
    <w:rsid w:val="00010FC5"/>
    <w:rsid w:val="000127F4"/>
    <w:rsid w:val="0001310D"/>
    <w:rsid w:val="000137F7"/>
    <w:rsid w:val="00014234"/>
    <w:rsid w:val="00014969"/>
    <w:rsid w:val="00015797"/>
    <w:rsid w:val="000168A0"/>
    <w:rsid w:val="00017A70"/>
    <w:rsid w:val="00017DFB"/>
    <w:rsid w:val="000217AA"/>
    <w:rsid w:val="000224FE"/>
    <w:rsid w:val="00024475"/>
    <w:rsid w:val="00024505"/>
    <w:rsid w:val="000269FC"/>
    <w:rsid w:val="00027801"/>
    <w:rsid w:val="00034413"/>
    <w:rsid w:val="00035FF1"/>
    <w:rsid w:val="00036D96"/>
    <w:rsid w:val="00037E4C"/>
    <w:rsid w:val="00040F8D"/>
    <w:rsid w:val="000416E5"/>
    <w:rsid w:val="000433E3"/>
    <w:rsid w:val="00046EBE"/>
    <w:rsid w:val="00050DAA"/>
    <w:rsid w:val="00050DE0"/>
    <w:rsid w:val="00055D67"/>
    <w:rsid w:val="00055DB3"/>
    <w:rsid w:val="00055F2C"/>
    <w:rsid w:val="000561FD"/>
    <w:rsid w:val="00062D32"/>
    <w:rsid w:val="00063C02"/>
    <w:rsid w:val="0006554B"/>
    <w:rsid w:val="00071283"/>
    <w:rsid w:val="00072D31"/>
    <w:rsid w:val="00073B71"/>
    <w:rsid w:val="00074CBE"/>
    <w:rsid w:val="00074F62"/>
    <w:rsid w:val="00076932"/>
    <w:rsid w:val="00076B7B"/>
    <w:rsid w:val="00077CC5"/>
    <w:rsid w:val="00082E92"/>
    <w:rsid w:val="00086530"/>
    <w:rsid w:val="00093E96"/>
    <w:rsid w:val="0009495C"/>
    <w:rsid w:val="0009724A"/>
    <w:rsid w:val="0009750A"/>
    <w:rsid w:val="000A059B"/>
    <w:rsid w:val="000A274E"/>
    <w:rsid w:val="000A5684"/>
    <w:rsid w:val="000A76A2"/>
    <w:rsid w:val="000B1C8C"/>
    <w:rsid w:val="000B1D49"/>
    <w:rsid w:val="000B4870"/>
    <w:rsid w:val="000B4A72"/>
    <w:rsid w:val="000B7BCC"/>
    <w:rsid w:val="000C270F"/>
    <w:rsid w:val="000C350E"/>
    <w:rsid w:val="000C4968"/>
    <w:rsid w:val="000C496A"/>
    <w:rsid w:val="000D024D"/>
    <w:rsid w:val="000D12FB"/>
    <w:rsid w:val="000D67B9"/>
    <w:rsid w:val="000E3079"/>
    <w:rsid w:val="000E517B"/>
    <w:rsid w:val="000E6AC2"/>
    <w:rsid w:val="000E71DF"/>
    <w:rsid w:val="000F0FE5"/>
    <w:rsid w:val="000F16B7"/>
    <w:rsid w:val="000F1F3E"/>
    <w:rsid w:val="000F2618"/>
    <w:rsid w:val="000F42B3"/>
    <w:rsid w:val="000F5A94"/>
    <w:rsid w:val="000F65C2"/>
    <w:rsid w:val="000F667D"/>
    <w:rsid w:val="000F67B3"/>
    <w:rsid w:val="000F757D"/>
    <w:rsid w:val="00101477"/>
    <w:rsid w:val="00101AEC"/>
    <w:rsid w:val="00101EAD"/>
    <w:rsid w:val="0010324B"/>
    <w:rsid w:val="00103B3E"/>
    <w:rsid w:val="001052B8"/>
    <w:rsid w:val="00106521"/>
    <w:rsid w:val="001159FF"/>
    <w:rsid w:val="001242CA"/>
    <w:rsid w:val="001251F1"/>
    <w:rsid w:val="00130957"/>
    <w:rsid w:val="00131314"/>
    <w:rsid w:val="001321D2"/>
    <w:rsid w:val="00132A38"/>
    <w:rsid w:val="00135E13"/>
    <w:rsid w:val="00136955"/>
    <w:rsid w:val="0013771C"/>
    <w:rsid w:val="001424FB"/>
    <w:rsid w:val="00144AA8"/>
    <w:rsid w:val="00144B4C"/>
    <w:rsid w:val="00144BD4"/>
    <w:rsid w:val="00146971"/>
    <w:rsid w:val="00147FA0"/>
    <w:rsid w:val="001537B7"/>
    <w:rsid w:val="0016053B"/>
    <w:rsid w:val="0016082A"/>
    <w:rsid w:val="0016790D"/>
    <w:rsid w:val="00172353"/>
    <w:rsid w:val="001733DA"/>
    <w:rsid w:val="00174B43"/>
    <w:rsid w:val="00176D32"/>
    <w:rsid w:val="00177061"/>
    <w:rsid w:val="001811FE"/>
    <w:rsid w:val="001850C3"/>
    <w:rsid w:val="00185545"/>
    <w:rsid w:val="00186028"/>
    <w:rsid w:val="00186120"/>
    <w:rsid w:val="00191713"/>
    <w:rsid w:val="00192148"/>
    <w:rsid w:val="00196023"/>
    <w:rsid w:val="001A1E2E"/>
    <w:rsid w:val="001A456D"/>
    <w:rsid w:val="001A4BFC"/>
    <w:rsid w:val="001A5961"/>
    <w:rsid w:val="001A66C0"/>
    <w:rsid w:val="001B0EEB"/>
    <w:rsid w:val="001B139B"/>
    <w:rsid w:val="001B313F"/>
    <w:rsid w:val="001B43B7"/>
    <w:rsid w:val="001C2959"/>
    <w:rsid w:val="001C46CC"/>
    <w:rsid w:val="001C48C5"/>
    <w:rsid w:val="001D25D8"/>
    <w:rsid w:val="001D2FAE"/>
    <w:rsid w:val="001D6587"/>
    <w:rsid w:val="001D7012"/>
    <w:rsid w:val="001E1FA8"/>
    <w:rsid w:val="001E2BD5"/>
    <w:rsid w:val="001E6A27"/>
    <w:rsid w:val="001E6A79"/>
    <w:rsid w:val="001F15F5"/>
    <w:rsid w:val="001F1A9D"/>
    <w:rsid w:val="001F38BD"/>
    <w:rsid w:val="001F54EB"/>
    <w:rsid w:val="001F63B4"/>
    <w:rsid w:val="001F6BB2"/>
    <w:rsid w:val="001F72CE"/>
    <w:rsid w:val="0020063F"/>
    <w:rsid w:val="00201C73"/>
    <w:rsid w:val="00204617"/>
    <w:rsid w:val="00204D17"/>
    <w:rsid w:val="00204EC0"/>
    <w:rsid w:val="00205056"/>
    <w:rsid w:val="00205097"/>
    <w:rsid w:val="00206937"/>
    <w:rsid w:val="00206A9D"/>
    <w:rsid w:val="0021219E"/>
    <w:rsid w:val="00214C48"/>
    <w:rsid w:val="00216C86"/>
    <w:rsid w:val="00217049"/>
    <w:rsid w:val="00217182"/>
    <w:rsid w:val="0021756D"/>
    <w:rsid w:val="002209E2"/>
    <w:rsid w:val="00223C7E"/>
    <w:rsid w:val="002259D7"/>
    <w:rsid w:val="0022623E"/>
    <w:rsid w:val="0022774E"/>
    <w:rsid w:val="0023437F"/>
    <w:rsid w:val="002347B6"/>
    <w:rsid w:val="002359E2"/>
    <w:rsid w:val="002422FB"/>
    <w:rsid w:val="00242346"/>
    <w:rsid w:val="002426D6"/>
    <w:rsid w:val="00244667"/>
    <w:rsid w:val="00245B05"/>
    <w:rsid w:val="002472CD"/>
    <w:rsid w:val="0025636D"/>
    <w:rsid w:val="00260883"/>
    <w:rsid w:val="00261146"/>
    <w:rsid w:val="0026348D"/>
    <w:rsid w:val="0026427C"/>
    <w:rsid w:val="0028041D"/>
    <w:rsid w:val="00280E2E"/>
    <w:rsid w:val="00281B38"/>
    <w:rsid w:val="00281B84"/>
    <w:rsid w:val="00282A9B"/>
    <w:rsid w:val="00283A44"/>
    <w:rsid w:val="00283D0C"/>
    <w:rsid w:val="00283EEC"/>
    <w:rsid w:val="002903E8"/>
    <w:rsid w:val="00291745"/>
    <w:rsid w:val="00293EDF"/>
    <w:rsid w:val="0029466B"/>
    <w:rsid w:val="00294FF0"/>
    <w:rsid w:val="002A0343"/>
    <w:rsid w:val="002A289F"/>
    <w:rsid w:val="002A3077"/>
    <w:rsid w:val="002A37D5"/>
    <w:rsid w:val="002A5BA0"/>
    <w:rsid w:val="002B60F9"/>
    <w:rsid w:val="002C49D0"/>
    <w:rsid w:val="002D00DD"/>
    <w:rsid w:val="002D0C6E"/>
    <w:rsid w:val="002D1847"/>
    <w:rsid w:val="002D3ADA"/>
    <w:rsid w:val="002D46C2"/>
    <w:rsid w:val="002E012C"/>
    <w:rsid w:val="002E0FB4"/>
    <w:rsid w:val="002E1C08"/>
    <w:rsid w:val="002E592B"/>
    <w:rsid w:val="002F2DF0"/>
    <w:rsid w:val="002F7E2B"/>
    <w:rsid w:val="00300B73"/>
    <w:rsid w:val="003014AB"/>
    <w:rsid w:val="003027EA"/>
    <w:rsid w:val="003042D0"/>
    <w:rsid w:val="003059A7"/>
    <w:rsid w:val="0030621A"/>
    <w:rsid w:val="00317384"/>
    <w:rsid w:val="00317514"/>
    <w:rsid w:val="00320DF3"/>
    <w:rsid w:val="00322E96"/>
    <w:rsid w:val="00324B9A"/>
    <w:rsid w:val="00326C20"/>
    <w:rsid w:val="00330773"/>
    <w:rsid w:val="003324F2"/>
    <w:rsid w:val="00336084"/>
    <w:rsid w:val="00341453"/>
    <w:rsid w:val="00343B6E"/>
    <w:rsid w:val="00351DAF"/>
    <w:rsid w:val="00352EA4"/>
    <w:rsid w:val="003538C3"/>
    <w:rsid w:val="003560D6"/>
    <w:rsid w:val="00360A74"/>
    <w:rsid w:val="00363B10"/>
    <w:rsid w:val="00364C4C"/>
    <w:rsid w:val="003651D6"/>
    <w:rsid w:val="00365EB8"/>
    <w:rsid w:val="00367776"/>
    <w:rsid w:val="00371914"/>
    <w:rsid w:val="00372A2B"/>
    <w:rsid w:val="003738EF"/>
    <w:rsid w:val="00374A76"/>
    <w:rsid w:val="00375035"/>
    <w:rsid w:val="0037544D"/>
    <w:rsid w:val="0038371E"/>
    <w:rsid w:val="003902A6"/>
    <w:rsid w:val="00390F82"/>
    <w:rsid w:val="00395BF7"/>
    <w:rsid w:val="003A3EA3"/>
    <w:rsid w:val="003A5ADB"/>
    <w:rsid w:val="003A78F5"/>
    <w:rsid w:val="003B43DF"/>
    <w:rsid w:val="003B46AA"/>
    <w:rsid w:val="003B60C8"/>
    <w:rsid w:val="003C0649"/>
    <w:rsid w:val="003C266F"/>
    <w:rsid w:val="003C3029"/>
    <w:rsid w:val="003C33C8"/>
    <w:rsid w:val="003C48DE"/>
    <w:rsid w:val="003D07E1"/>
    <w:rsid w:val="003D1E5F"/>
    <w:rsid w:val="003D5C23"/>
    <w:rsid w:val="003D6094"/>
    <w:rsid w:val="003D7BE6"/>
    <w:rsid w:val="003E03FD"/>
    <w:rsid w:val="003E2ADE"/>
    <w:rsid w:val="003E518E"/>
    <w:rsid w:val="003E5B0B"/>
    <w:rsid w:val="003F1927"/>
    <w:rsid w:val="003F1E7C"/>
    <w:rsid w:val="003F21D7"/>
    <w:rsid w:val="003F3254"/>
    <w:rsid w:val="00402E63"/>
    <w:rsid w:val="004035B1"/>
    <w:rsid w:val="0040392B"/>
    <w:rsid w:val="00413736"/>
    <w:rsid w:val="004141B3"/>
    <w:rsid w:val="00417261"/>
    <w:rsid w:val="00417A47"/>
    <w:rsid w:val="00423557"/>
    <w:rsid w:val="00424364"/>
    <w:rsid w:val="004245A1"/>
    <w:rsid w:val="00427387"/>
    <w:rsid w:val="004274E1"/>
    <w:rsid w:val="0042787D"/>
    <w:rsid w:val="00427947"/>
    <w:rsid w:val="00433892"/>
    <w:rsid w:val="00434A58"/>
    <w:rsid w:val="004359C6"/>
    <w:rsid w:val="004414A6"/>
    <w:rsid w:val="0044178A"/>
    <w:rsid w:val="00441794"/>
    <w:rsid w:val="00443014"/>
    <w:rsid w:val="00443F38"/>
    <w:rsid w:val="004514DB"/>
    <w:rsid w:val="004517F1"/>
    <w:rsid w:val="004531F4"/>
    <w:rsid w:val="0046245F"/>
    <w:rsid w:val="00463BFD"/>
    <w:rsid w:val="00466063"/>
    <w:rsid w:val="004672F7"/>
    <w:rsid w:val="00472563"/>
    <w:rsid w:val="004730ED"/>
    <w:rsid w:val="00473185"/>
    <w:rsid w:val="0047324E"/>
    <w:rsid w:val="0047371E"/>
    <w:rsid w:val="00474B7B"/>
    <w:rsid w:val="00477A36"/>
    <w:rsid w:val="00481B7C"/>
    <w:rsid w:val="00482A79"/>
    <w:rsid w:val="004848BE"/>
    <w:rsid w:val="00484E0C"/>
    <w:rsid w:val="004874B7"/>
    <w:rsid w:val="00487A5E"/>
    <w:rsid w:val="00491C8D"/>
    <w:rsid w:val="00492578"/>
    <w:rsid w:val="004925B5"/>
    <w:rsid w:val="00493169"/>
    <w:rsid w:val="00496D39"/>
    <w:rsid w:val="004A09C5"/>
    <w:rsid w:val="004A0F8B"/>
    <w:rsid w:val="004A4265"/>
    <w:rsid w:val="004A5C75"/>
    <w:rsid w:val="004A5E8D"/>
    <w:rsid w:val="004A68BB"/>
    <w:rsid w:val="004A7331"/>
    <w:rsid w:val="004A791E"/>
    <w:rsid w:val="004B240D"/>
    <w:rsid w:val="004B2624"/>
    <w:rsid w:val="004B4757"/>
    <w:rsid w:val="004B481C"/>
    <w:rsid w:val="004B58BB"/>
    <w:rsid w:val="004B5988"/>
    <w:rsid w:val="004C055C"/>
    <w:rsid w:val="004C1131"/>
    <w:rsid w:val="004C129A"/>
    <w:rsid w:val="004C1AE2"/>
    <w:rsid w:val="004C226E"/>
    <w:rsid w:val="004C3EAA"/>
    <w:rsid w:val="004C4F94"/>
    <w:rsid w:val="004C540B"/>
    <w:rsid w:val="004C5CC7"/>
    <w:rsid w:val="004C6481"/>
    <w:rsid w:val="004C68C3"/>
    <w:rsid w:val="004D3D89"/>
    <w:rsid w:val="004D5B92"/>
    <w:rsid w:val="004E043A"/>
    <w:rsid w:val="004E11BA"/>
    <w:rsid w:val="004E1280"/>
    <w:rsid w:val="004E3A21"/>
    <w:rsid w:val="004E59CF"/>
    <w:rsid w:val="004F243E"/>
    <w:rsid w:val="004F2FB5"/>
    <w:rsid w:val="004F3C14"/>
    <w:rsid w:val="004F48C1"/>
    <w:rsid w:val="004F6D1B"/>
    <w:rsid w:val="00500F92"/>
    <w:rsid w:val="00502188"/>
    <w:rsid w:val="005032A6"/>
    <w:rsid w:val="00503834"/>
    <w:rsid w:val="00506561"/>
    <w:rsid w:val="00506A0F"/>
    <w:rsid w:val="00511384"/>
    <w:rsid w:val="00511523"/>
    <w:rsid w:val="00511DE1"/>
    <w:rsid w:val="00511FB8"/>
    <w:rsid w:val="0051384E"/>
    <w:rsid w:val="005154A0"/>
    <w:rsid w:val="005164EF"/>
    <w:rsid w:val="00516625"/>
    <w:rsid w:val="0051690F"/>
    <w:rsid w:val="00516FDD"/>
    <w:rsid w:val="0052005A"/>
    <w:rsid w:val="00523CBE"/>
    <w:rsid w:val="005240B9"/>
    <w:rsid w:val="00533AEF"/>
    <w:rsid w:val="005367F6"/>
    <w:rsid w:val="00540D59"/>
    <w:rsid w:val="005464F3"/>
    <w:rsid w:val="005500EB"/>
    <w:rsid w:val="00554D44"/>
    <w:rsid w:val="00556C68"/>
    <w:rsid w:val="00556EB9"/>
    <w:rsid w:val="005632A6"/>
    <w:rsid w:val="00564486"/>
    <w:rsid w:val="00565FBB"/>
    <w:rsid w:val="00567A7B"/>
    <w:rsid w:val="00570238"/>
    <w:rsid w:val="005703DA"/>
    <w:rsid w:val="005706E8"/>
    <w:rsid w:val="00571D84"/>
    <w:rsid w:val="00572548"/>
    <w:rsid w:val="0057312F"/>
    <w:rsid w:val="00575B31"/>
    <w:rsid w:val="00577556"/>
    <w:rsid w:val="00577713"/>
    <w:rsid w:val="00581DAB"/>
    <w:rsid w:val="005822E9"/>
    <w:rsid w:val="00586E31"/>
    <w:rsid w:val="00594797"/>
    <w:rsid w:val="005A101E"/>
    <w:rsid w:val="005A14C1"/>
    <w:rsid w:val="005A306C"/>
    <w:rsid w:val="005A3493"/>
    <w:rsid w:val="005A4A8E"/>
    <w:rsid w:val="005A621C"/>
    <w:rsid w:val="005B18B4"/>
    <w:rsid w:val="005B6DCE"/>
    <w:rsid w:val="005B6FAB"/>
    <w:rsid w:val="005B7037"/>
    <w:rsid w:val="005C0CA9"/>
    <w:rsid w:val="005C4FB2"/>
    <w:rsid w:val="005C5DEF"/>
    <w:rsid w:val="005C650D"/>
    <w:rsid w:val="005C656E"/>
    <w:rsid w:val="005C685C"/>
    <w:rsid w:val="005C6A17"/>
    <w:rsid w:val="005C6AFF"/>
    <w:rsid w:val="005D05F7"/>
    <w:rsid w:val="005D1F98"/>
    <w:rsid w:val="005D250E"/>
    <w:rsid w:val="005D2B7F"/>
    <w:rsid w:val="005D7248"/>
    <w:rsid w:val="005D7ABE"/>
    <w:rsid w:val="005D7D62"/>
    <w:rsid w:val="005E259F"/>
    <w:rsid w:val="005E2907"/>
    <w:rsid w:val="005E2E2C"/>
    <w:rsid w:val="005E3538"/>
    <w:rsid w:val="005E3C7A"/>
    <w:rsid w:val="005E5799"/>
    <w:rsid w:val="005E6CED"/>
    <w:rsid w:val="005F0ADA"/>
    <w:rsid w:val="005F4CC7"/>
    <w:rsid w:val="00600789"/>
    <w:rsid w:val="00602FAE"/>
    <w:rsid w:val="0060378C"/>
    <w:rsid w:val="0060408F"/>
    <w:rsid w:val="0060537A"/>
    <w:rsid w:val="0061245A"/>
    <w:rsid w:val="00612D89"/>
    <w:rsid w:val="00613E34"/>
    <w:rsid w:val="00616958"/>
    <w:rsid w:val="00616A6B"/>
    <w:rsid w:val="00616F10"/>
    <w:rsid w:val="006175AF"/>
    <w:rsid w:val="00617E7F"/>
    <w:rsid w:val="00620B0C"/>
    <w:rsid w:val="00625AEC"/>
    <w:rsid w:val="00626C15"/>
    <w:rsid w:val="006277EE"/>
    <w:rsid w:val="006329F4"/>
    <w:rsid w:val="006350ED"/>
    <w:rsid w:val="00636BED"/>
    <w:rsid w:val="00642A26"/>
    <w:rsid w:val="00644939"/>
    <w:rsid w:val="00646F41"/>
    <w:rsid w:val="00650B4D"/>
    <w:rsid w:val="00652353"/>
    <w:rsid w:val="00652A21"/>
    <w:rsid w:val="00654080"/>
    <w:rsid w:val="006548FF"/>
    <w:rsid w:val="006554B2"/>
    <w:rsid w:val="00657090"/>
    <w:rsid w:val="006570A3"/>
    <w:rsid w:val="006607E9"/>
    <w:rsid w:val="006609A3"/>
    <w:rsid w:val="0066786C"/>
    <w:rsid w:val="00673CCB"/>
    <w:rsid w:val="00675430"/>
    <w:rsid w:val="006773F3"/>
    <w:rsid w:val="006779CD"/>
    <w:rsid w:val="00681F60"/>
    <w:rsid w:val="0068297E"/>
    <w:rsid w:val="00683C80"/>
    <w:rsid w:val="006845A4"/>
    <w:rsid w:val="006846A8"/>
    <w:rsid w:val="00685251"/>
    <w:rsid w:val="006866DA"/>
    <w:rsid w:val="00687348"/>
    <w:rsid w:val="00690BE1"/>
    <w:rsid w:val="006923DE"/>
    <w:rsid w:val="006941D3"/>
    <w:rsid w:val="00694754"/>
    <w:rsid w:val="006948A3"/>
    <w:rsid w:val="006962EB"/>
    <w:rsid w:val="00696F21"/>
    <w:rsid w:val="006A2EF0"/>
    <w:rsid w:val="006B1F95"/>
    <w:rsid w:val="006B28E7"/>
    <w:rsid w:val="006B3A30"/>
    <w:rsid w:val="006B5942"/>
    <w:rsid w:val="006B647A"/>
    <w:rsid w:val="006C0499"/>
    <w:rsid w:val="006C0F3B"/>
    <w:rsid w:val="006C5C4F"/>
    <w:rsid w:val="006C5D77"/>
    <w:rsid w:val="006C6364"/>
    <w:rsid w:val="006D2284"/>
    <w:rsid w:val="006D2311"/>
    <w:rsid w:val="006D2F83"/>
    <w:rsid w:val="006D31CF"/>
    <w:rsid w:val="006D4C66"/>
    <w:rsid w:val="006D6A98"/>
    <w:rsid w:val="006D7DD9"/>
    <w:rsid w:val="006E07B8"/>
    <w:rsid w:val="006E1734"/>
    <w:rsid w:val="006E4E86"/>
    <w:rsid w:val="006E5549"/>
    <w:rsid w:val="006E7861"/>
    <w:rsid w:val="006F0E6B"/>
    <w:rsid w:val="006F105A"/>
    <w:rsid w:val="006F1087"/>
    <w:rsid w:val="006F12E2"/>
    <w:rsid w:val="006F2268"/>
    <w:rsid w:val="006F327E"/>
    <w:rsid w:val="006F52BB"/>
    <w:rsid w:val="006F6D93"/>
    <w:rsid w:val="006F7C86"/>
    <w:rsid w:val="006F7EA7"/>
    <w:rsid w:val="00700095"/>
    <w:rsid w:val="00700732"/>
    <w:rsid w:val="007010CB"/>
    <w:rsid w:val="00701F8A"/>
    <w:rsid w:val="0070232D"/>
    <w:rsid w:val="00703033"/>
    <w:rsid w:val="007033B4"/>
    <w:rsid w:val="007068E8"/>
    <w:rsid w:val="00710F27"/>
    <w:rsid w:val="00711EF6"/>
    <w:rsid w:val="00711FCA"/>
    <w:rsid w:val="007126A0"/>
    <w:rsid w:val="00724037"/>
    <w:rsid w:val="00730304"/>
    <w:rsid w:val="00730986"/>
    <w:rsid w:val="00731562"/>
    <w:rsid w:val="00731B31"/>
    <w:rsid w:val="00733532"/>
    <w:rsid w:val="00742D09"/>
    <w:rsid w:val="00747909"/>
    <w:rsid w:val="00751198"/>
    <w:rsid w:val="00753836"/>
    <w:rsid w:val="0075595A"/>
    <w:rsid w:val="007576F1"/>
    <w:rsid w:val="007618B1"/>
    <w:rsid w:val="00761E45"/>
    <w:rsid w:val="00761E7F"/>
    <w:rsid w:val="00764831"/>
    <w:rsid w:val="00765C9C"/>
    <w:rsid w:val="00767603"/>
    <w:rsid w:val="007708A1"/>
    <w:rsid w:val="00771899"/>
    <w:rsid w:val="007766EA"/>
    <w:rsid w:val="00777A42"/>
    <w:rsid w:val="0078169E"/>
    <w:rsid w:val="00787F81"/>
    <w:rsid w:val="00790E96"/>
    <w:rsid w:val="007913A4"/>
    <w:rsid w:val="00792364"/>
    <w:rsid w:val="00793C70"/>
    <w:rsid w:val="007A1461"/>
    <w:rsid w:val="007A1705"/>
    <w:rsid w:val="007A3D45"/>
    <w:rsid w:val="007A5D1D"/>
    <w:rsid w:val="007A7924"/>
    <w:rsid w:val="007B09B1"/>
    <w:rsid w:val="007B1CF8"/>
    <w:rsid w:val="007B1D4F"/>
    <w:rsid w:val="007B2BBB"/>
    <w:rsid w:val="007B2DC7"/>
    <w:rsid w:val="007B412A"/>
    <w:rsid w:val="007C26A2"/>
    <w:rsid w:val="007C309E"/>
    <w:rsid w:val="007C35B9"/>
    <w:rsid w:val="007C3A63"/>
    <w:rsid w:val="007C46E1"/>
    <w:rsid w:val="007C60C5"/>
    <w:rsid w:val="007D306B"/>
    <w:rsid w:val="007D46FF"/>
    <w:rsid w:val="007D660E"/>
    <w:rsid w:val="007D6FD1"/>
    <w:rsid w:val="007D747B"/>
    <w:rsid w:val="007D7C70"/>
    <w:rsid w:val="007E192E"/>
    <w:rsid w:val="007E2BCD"/>
    <w:rsid w:val="007E3ABF"/>
    <w:rsid w:val="007E4675"/>
    <w:rsid w:val="007E5FAF"/>
    <w:rsid w:val="007E7ABE"/>
    <w:rsid w:val="007F4DE7"/>
    <w:rsid w:val="007F55BB"/>
    <w:rsid w:val="007F6350"/>
    <w:rsid w:val="007F7EE4"/>
    <w:rsid w:val="008034F9"/>
    <w:rsid w:val="0080364C"/>
    <w:rsid w:val="00803B68"/>
    <w:rsid w:val="008042D1"/>
    <w:rsid w:val="0080661F"/>
    <w:rsid w:val="00815DFB"/>
    <w:rsid w:val="0081785E"/>
    <w:rsid w:val="008207AD"/>
    <w:rsid w:val="0082285C"/>
    <w:rsid w:val="0082316A"/>
    <w:rsid w:val="008314E0"/>
    <w:rsid w:val="00831F75"/>
    <w:rsid w:val="008323BD"/>
    <w:rsid w:val="008338CF"/>
    <w:rsid w:val="00836981"/>
    <w:rsid w:val="00837310"/>
    <w:rsid w:val="00840127"/>
    <w:rsid w:val="0084094E"/>
    <w:rsid w:val="0084311A"/>
    <w:rsid w:val="00844225"/>
    <w:rsid w:val="008442D7"/>
    <w:rsid w:val="00844F53"/>
    <w:rsid w:val="00847417"/>
    <w:rsid w:val="008479F7"/>
    <w:rsid w:val="008512AD"/>
    <w:rsid w:val="00851C9D"/>
    <w:rsid w:val="0085445B"/>
    <w:rsid w:val="00854550"/>
    <w:rsid w:val="00854C08"/>
    <w:rsid w:val="008624CE"/>
    <w:rsid w:val="00864926"/>
    <w:rsid w:val="00865D43"/>
    <w:rsid w:val="00865FA1"/>
    <w:rsid w:val="008664CC"/>
    <w:rsid w:val="00867A2A"/>
    <w:rsid w:val="00871A18"/>
    <w:rsid w:val="00872230"/>
    <w:rsid w:val="00882597"/>
    <w:rsid w:val="00887754"/>
    <w:rsid w:val="00887F81"/>
    <w:rsid w:val="00887FDA"/>
    <w:rsid w:val="008911A8"/>
    <w:rsid w:val="0089239E"/>
    <w:rsid w:val="00892643"/>
    <w:rsid w:val="00895A55"/>
    <w:rsid w:val="008963C7"/>
    <w:rsid w:val="008966C7"/>
    <w:rsid w:val="008977E4"/>
    <w:rsid w:val="008A1926"/>
    <w:rsid w:val="008A2252"/>
    <w:rsid w:val="008A4F87"/>
    <w:rsid w:val="008B0208"/>
    <w:rsid w:val="008B288D"/>
    <w:rsid w:val="008B4A32"/>
    <w:rsid w:val="008B66DD"/>
    <w:rsid w:val="008B7A32"/>
    <w:rsid w:val="008B7C67"/>
    <w:rsid w:val="008C0866"/>
    <w:rsid w:val="008C0B90"/>
    <w:rsid w:val="008C0C83"/>
    <w:rsid w:val="008C1673"/>
    <w:rsid w:val="008C1F3B"/>
    <w:rsid w:val="008C2341"/>
    <w:rsid w:val="008C240B"/>
    <w:rsid w:val="008C3338"/>
    <w:rsid w:val="008C34F1"/>
    <w:rsid w:val="008C356B"/>
    <w:rsid w:val="008C3AB7"/>
    <w:rsid w:val="008C5825"/>
    <w:rsid w:val="008C5F50"/>
    <w:rsid w:val="008C655F"/>
    <w:rsid w:val="008C6D74"/>
    <w:rsid w:val="008C7F93"/>
    <w:rsid w:val="008D0425"/>
    <w:rsid w:val="008D2353"/>
    <w:rsid w:val="008D51A5"/>
    <w:rsid w:val="008E091F"/>
    <w:rsid w:val="008E0F31"/>
    <w:rsid w:val="008E1399"/>
    <w:rsid w:val="008E141E"/>
    <w:rsid w:val="008E155C"/>
    <w:rsid w:val="008E18DE"/>
    <w:rsid w:val="008E1D5B"/>
    <w:rsid w:val="008E2B30"/>
    <w:rsid w:val="008E347D"/>
    <w:rsid w:val="008E34C4"/>
    <w:rsid w:val="008E6D29"/>
    <w:rsid w:val="008E7F33"/>
    <w:rsid w:val="008F023E"/>
    <w:rsid w:val="008F058E"/>
    <w:rsid w:val="008F2D34"/>
    <w:rsid w:val="008F4D36"/>
    <w:rsid w:val="00905B93"/>
    <w:rsid w:val="009118ED"/>
    <w:rsid w:val="00915C6D"/>
    <w:rsid w:val="0092625D"/>
    <w:rsid w:val="0092633C"/>
    <w:rsid w:val="0092675F"/>
    <w:rsid w:val="00926C1C"/>
    <w:rsid w:val="00927AA7"/>
    <w:rsid w:val="009303F3"/>
    <w:rsid w:val="00936932"/>
    <w:rsid w:val="00936E64"/>
    <w:rsid w:val="009449A1"/>
    <w:rsid w:val="00945CBA"/>
    <w:rsid w:val="00947F28"/>
    <w:rsid w:val="0095025F"/>
    <w:rsid w:val="00950448"/>
    <w:rsid w:val="00950D76"/>
    <w:rsid w:val="0095334D"/>
    <w:rsid w:val="00954892"/>
    <w:rsid w:val="0095572D"/>
    <w:rsid w:val="0095654B"/>
    <w:rsid w:val="00962269"/>
    <w:rsid w:val="00963065"/>
    <w:rsid w:val="00963379"/>
    <w:rsid w:val="00964DDC"/>
    <w:rsid w:val="00967897"/>
    <w:rsid w:val="00972AF4"/>
    <w:rsid w:val="00973B92"/>
    <w:rsid w:val="00974B72"/>
    <w:rsid w:val="00975581"/>
    <w:rsid w:val="00975658"/>
    <w:rsid w:val="00976966"/>
    <w:rsid w:val="00977BE3"/>
    <w:rsid w:val="00977ECF"/>
    <w:rsid w:val="00981A85"/>
    <w:rsid w:val="0098332F"/>
    <w:rsid w:val="00983797"/>
    <w:rsid w:val="0098472A"/>
    <w:rsid w:val="00984E59"/>
    <w:rsid w:val="00991115"/>
    <w:rsid w:val="009932E3"/>
    <w:rsid w:val="00993F0E"/>
    <w:rsid w:val="00994628"/>
    <w:rsid w:val="0099764C"/>
    <w:rsid w:val="009A0586"/>
    <w:rsid w:val="009A0F8F"/>
    <w:rsid w:val="009A11A1"/>
    <w:rsid w:val="009A2663"/>
    <w:rsid w:val="009A5CB2"/>
    <w:rsid w:val="009B0D46"/>
    <w:rsid w:val="009B2226"/>
    <w:rsid w:val="009B2EB6"/>
    <w:rsid w:val="009B6EDD"/>
    <w:rsid w:val="009B7C20"/>
    <w:rsid w:val="009C2FD5"/>
    <w:rsid w:val="009C6270"/>
    <w:rsid w:val="009C65D5"/>
    <w:rsid w:val="009C68DC"/>
    <w:rsid w:val="009D3CDA"/>
    <w:rsid w:val="009D677F"/>
    <w:rsid w:val="009D7357"/>
    <w:rsid w:val="009D7CB1"/>
    <w:rsid w:val="009E2AD4"/>
    <w:rsid w:val="009E3910"/>
    <w:rsid w:val="009E39EC"/>
    <w:rsid w:val="009E7548"/>
    <w:rsid w:val="009F0354"/>
    <w:rsid w:val="009F03A2"/>
    <w:rsid w:val="009F2B72"/>
    <w:rsid w:val="009F3652"/>
    <w:rsid w:val="009F3DCC"/>
    <w:rsid w:val="009F7C8C"/>
    <w:rsid w:val="00A00948"/>
    <w:rsid w:val="00A00CCD"/>
    <w:rsid w:val="00A00DEE"/>
    <w:rsid w:val="00A01CB0"/>
    <w:rsid w:val="00A01E11"/>
    <w:rsid w:val="00A029F9"/>
    <w:rsid w:val="00A0423F"/>
    <w:rsid w:val="00A05CFE"/>
    <w:rsid w:val="00A06297"/>
    <w:rsid w:val="00A069A4"/>
    <w:rsid w:val="00A11CD9"/>
    <w:rsid w:val="00A121B4"/>
    <w:rsid w:val="00A15C33"/>
    <w:rsid w:val="00A15D00"/>
    <w:rsid w:val="00A20DC3"/>
    <w:rsid w:val="00A21AA5"/>
    <w:rsid w:val="00A231E8"/>
    <w:rsid w:val="00A24F25"/>
    <w:rsid w:val="00A25885"/>
    <w:rsid w:val="00A25DBE"/>
    <w:rsid w:val="00A262FD"/>
    <w:rsid w:val="00A26F17"/>
    <w:rsid w:val="00A328CD"/>
    <w:rsid w:val="00A359EA"/>
    <w:rsid w:val="00A36E1E"/>
    <w:rsid w:val="00A400FD"/>
    <w:rsid w:val="00A40B70"/>
    <w:rsid w:val="00A41B1D"/>
    <w:rsid w:val="00A42173"/>
    <w:rsid w:val="00A44315"/>
    <w:rsid w:val="00A459E9"/>
    <w:rsid w:val="00A47D30"/>
    <w:rsid w:val="00A51649"/>
    <w:rsid w:val="00A571DA"/>
    <w:rsid w:val="00A57A5C"/>
    <w:rsid w:val="00A60296"/>
    <w:rsid w:val="00A628BD"/>
    <w:rsid w:val="00A63A20"/>
    <w:rsid w:val="00A647DC"/>
    <w:rsid w:val="00A672C6"/>
    <w:rsid w:val="00A75111"/>
    <w:rsid w:val="00A7562C"/>
    <w:rsid w:val="00A75E38"/>
    <w:rsid w:val="00A7774A"/>
    <w:rsid w:val="00A821DB"/>
    <w:rsid w:val="00A82ADA"/>
    <w:rsid w:val="00A82D4B"/>
    <w:rsid w:val="00A832E1"/>
    <w:rsid w:val="00A8395D"/>
    <w:rsid w:val="00A84AD1"/>
    <w:rsid w:val="00A85A8B"/>
    <w:rsid w:val="00A91357"/>
    <w:rsid w:val="00A91AE3"/>
    <w:rsid w:val="00A91EDF"/>
    <w:rsid w:val="00A92CF4"/>
    <w:rsid w:val="00A949D1"/>
    <w:rsid w:val="00A97AA3"/>
    <w:rsid w:val="00AA0278"/>
    <w:rsid w:val="00AA1240"/>
    <w:rsid w:val="00AA3855"/>
    <w:rsid w:val="00AA3F44"/>
    <w:rsid w:val="00AA5AC3"/>
    <w:rsid w:val="00AA7B73"/>
    <w:rsid w:val="00AA7E7F"/>
    <w:rsid w:val="00AB18A0"/>
    <w:rsid w:val="00AB1C6D"/>
    <w:rsid w:val="00AB26DC"/>
    <w:rsid w:val="00AB4B09"/>
    <w:rsid w:val="00AB7A30"/>
    <w:rsid w:val="00AB7F22"/>
    <w:rsid w:val="00AC318A"/>
    <w:rsid w:val="00AC376F"/>
    <w:rsid w:val="00AC6C06"/>
    <w:rsid w:val="00AD188C"/>
    <w:rsid w:val="00AD2724"/>
    <w:rsid w:val="00AD2A9D"/>
    <w:rsid w:val="00AD2EA4"/>
    <w:rsid w:val="00AD4BB2"/>
    <w:rsid w:val="00AD4EA9"/>
    <w:rsid w:val="00AD592A"/>
    <w:rsid w:val="00AD5974"/>
    <w:rsid w:val="00AD6A7E"/>
    <w:rsid w:val="00AD6BDD"/>
    <w:rsid w:val="00AE0565"/>
    <w:rsid w:val="00AE0626"/>
    <w:rsid w:val="00AE0891"/>
    <w:rsid w:val="00AE2179"/>
    <w:rsid w:val="00AE3CD4"/>
    <w:rsid w:val="00AE5CCB"/>
    <w:rsid w:val="00AF091F"/>
    <w:rsid w:val="00AF47BA"/>
    <w:rsid w:val="00AF4AAE"/>
    <w:rsid w:val="00B0383E"/>
    <w:rsid w:val="00B04386"/>
    <w:rsid w:val="00B045D9"/>
    <w:rsid w:val="00B047C9"/>
    <w:rsid w:val="00B066F8"/>
    <w:rsid w:val="00B070B5"/>
    <w:rsid w:val="00B1048F"/>
    <w:rsid w:val="00B13AD2"/>
    <w:rsid w:val="00B13BE0"/>
    <w:rsid w:val="00B13CB7"/>
    <w:rsid w:val="00B17B6B"/>
    <w:rsid w:val="00B2129F"/>
    <w:rsid w:val="00B21791"/>
    <w:rsid w:val="00B21F24"/>
    <w:rsid w:val="00B2215B"/>
    <w:rsid w:val="00B2358D"/>
    <w:rsid w:val="00B2441A"/>
    <w:rsid w:val="00B25187"/>
    <w:rsid w:val="00B34844"/>
    <w:rsid w:val="00B36C85"/>
    <w:rsid w:val="00B40352"/>
    <w:rsid w:val="00B46EDC"/>
    <w:rsid w:val="00B477EA"/>
    <w:rsid w:val="00B51C39"/>
    <w:rsid w:val="00B52701"/>
    <w:rsid w:val="00B6284C"/>
    <w:rsid w:val="00B635DC"/>
    <w:rsid w:val="00B6617D"/>
    <w:rsid w:val="00B66605"/>
    <w:rsid w:val="00B707DC"/>
    <w:rsid w:val="00B729B7"/>
    <w:rsid w:val="00B73856"/>
    <w:rsid w:val="00B76C99"/>
    <w:rsid w:val="00B76D7C"/>
    <w:rsid w:val="00B808A8"/>
    <w:rsid w:val="00B837F2"/>
    <w:rsid w:val="00B839D3"/>
    <w:rsid w:val="00B86557"/>
    <w:rsid w:val="00B865D0"/>
    <w:rsid w:val="00B87010"/>
    <w:rsid w:val="00B90E9B"/>
    <w:rsid w:val="00B9242B"/>
    <w:rsid w:val="00B9311D"/>
    <w:rsid w:val="00BA198A"/>
    <w:rsid w:val="00BA1EB0"/>
    <w:rsid w:val="00BA3E9B"/>
    <w:rsid w:val="00BA4436"/>
    <w:rsid w:val="00BA4D1B"/>
    <w:rsid w:val="00BB2477"/>
    <w:rsid w:val="00BB2E88"/>
    <w:rsid w:val="00BB40EE"/>
    <w:rsid w:val="00BB467F"/>
    <w:rsid w:val="00BB50DF"/>
    <w:rsid w:val="00BB6155"/>
    <w:rsid w:val="00BB651B"/>
    <w:rsid w:val="00BB6549"/>
    <w:rsid w:val="00BB667F"/>
    <w:rsid w:val="00BB7061"/>
    <w:rsid w:val="00BB7792"/>
    <w:rsid w:val="00BB79B1"/>
    <w:rsid w:val="00BC2CA5"/>
    <w:rsid w:val="00BC4ABC"/>
    <w:rsid w:val="00BC5E49"/>
    <w:rsid w:val="00BC6E2B"/>
    <w:rsid w:val="00BD0300"/>
    <w:rsid w:val="00BD7A2C"/>
    <w:rsid w:val="00BE0B08"/>
    <w:rsid w:val="00BE37A2"/>
    <w:rsid w:val="00BE4579"/>
    <w:rsid w:val="00BE746C"/>
    <w:rsid w:val="00BF10F5"/>
    <w:rsid w:val="00BF1140"/>
    <w:rsid w:val="00BF2AB6"/>
    <w:rsid w:val="00BF2BB9"/>
    <w:rsid w:val="00BF4403"/>
    <w:rsid w:val="00BF5823"/>
    <w:rsid w:val="00BF5870"/>
    <w:rsid w:val="00BF60F1"/>
    <w:rsid w:val="00BF615C"/>
    <w:rsid w:val="00C00446"/>
    <w:rsid w:val="00C013F5"/>
    <w:rsid w:val="00C017A4"/>
    <w:rsid w:val="00C05AFB"/>
    <w:rsid w:val="00C05B46"/>
    <w:rsid w:val="00C06BDB"/>
    <w:rsid w:val="00C06F35"/>
    <w:rsid w:val="00C07234"/>
    <w:rsid w:val="00C1021B"/>
    <w:rsid w:val="00C10B07"/>
    <w:rsid w:val="00C11A52"/>
    <w:rsid w:val="00C14ACC"/>
    <w:rsid w:val="00C16AB6"/>
    <w:rsid w:val="00C16F76"/>
    <w:rsid w:val="00C1733F"/>
    <w:rsid w:val="00C17663"/>
    <w:rsid w:val="00C17963"/>
    <w:rsid w:val="00C22C3B"/>
    <w:rsid w:val="00C24172"/>
    <w:rsid w:val="00C247BC"/>
    <w:rsid w:val="00C25852"/>
    <w:rsid w:val="00C27C64"/>
    <w:rsid w:val="00C30F2A"/>
    <w:rsid w:val="00C343BD"/>
    <w:rsid w:val="00C34733"/>
    <w:rsid w:val="00C35064"/>
    <w:rsid w:val="00C351B2"/>
    <w:rsid w:val="00C3681C"/>
    <w:rsid w:val="00C36B76"/>
    <w:rsid w:val="00C4088C"/>
    <w:rsid w:val="00C40EAC"/>
    <w:rsid w:val="00C420A6"/>
    <w:rsid w:val="00C426F2"/>
    <w:rsid w:val="00C46179"/>
    <w:rsid w:val="00C476AB"/>
    <w:rsid w:val="00C50945"/>
    <w:rsid w:val="00C548E0"/>
    <w:rsid w:val="00C558F3"/>
    <w:rsid w:val="00C5678D"/>
    <w:rsid w:val="00C57A1D"/>
    <w:rsid w:val="00C62860"/>
    <w:rsid w:val="00C664DB"/>
    <w:rsid w:val="00C71C1C"/>
    <w:rsid w:val="00C73D23"/>
    <w:rsid w:val="00C76DBC"/>
    <w:rsid w:val="00C77CB3"/>
    <w:rsid w:val="00C81C8C"/>
    <w:rsid w:val="00C864F4"/>
    <w:rsid w:val="00C9348B"/>
    <w:rsid w:val="00C942A1"/>
    <w:rsid w:val="00C950EA"/>
    <w:rsid w:val="00CA2242"/>
    <w:rsid w:val="00CA25CD"/>
    <w:rsid w:val="00CA2A09"/>
    <w:rsid w:val="00CA5F99"/>
    <w:rsid w:val="00CA6813"/>
    <w:rsid w:val="00CA6F48"/>
    <w:rsid w:val="00CA6F91"/>
    <w:rsid w:val="00CA7E07"/>
    <w:rsid w:val="00CB289A"/>
    <w:rsid w:val="00CB3FFD"/>
    <w:rsid w:val="00CB4C9D"/>
    <w:rsid w:val="00CB70F1"/>
    <w:rsid w:val="00CC15A9"/>
    <w:rsid w:val="00CC1A09"/>
    <w:rsid w:val="00CC33D4"/>
    <w:rsid w:val="00CC38F6"/>
    <w:rsid w:val="00CD0222"/>
    <w:rsid w:val="00CD702A"/>
    <w:rsid w:val="00CD7D41"/>
    <w:rsid w:val="00CE0A65"/>
    <w:rsid w:val="00CE33D1"/>
    <w:rsid w:val="00CE35A1"/>
    <w:rsid w:val="00CE41E1"/>
    <w:rsid w:val="00CE4FC8"/>
    <w:rsid w:val="00CE6795"/>
    <w:rsid w:val="00CE6F6C"/>
    <w:rsid w:val="00CE751C"/>
    <w:rsid w:val="00CF1247"/>
    <w:rsid w:val="00CF1627"/>
    <w:rsid w:val="00CF377A"/>
    <w:rsid w:val="00CF43B7"/>
    <w:rsid w:val="00CF64E7"/>
    <w:rsid w:val="00D00997"/>
    <w:rsid w:val="00D009E0"/>
    <w:rsid w:val="00D02AE2"/>
    <w:rsid w:val="00D03039"/>
    <w:rsid w:val="00D03C6E"/>
    <w:rsid w:val="00D042F0"/>
    <w:rsid w:val="00D0479D"/>
    <w:rsid w:val="00D048A9"/>
    <w:rsid w:val="00D05C81"/>
    <w:rsid w:val="00D071BC"/>
    <w:rsid w:val="00D07634"/>
    <w:rsid w:val="00D10EA4"/>
    <w:rsid w:val="00D133C1"/>
    <w:rsid w:val="00D133D8"/>
    <w:rsid w:val="00D161F0"/>
    <w:rsid w:val="00D16EF0"/>
    <w:rsid w:val="00D22214"/>
    <w:rsid w:val="00D230A7"/>
    <w:rsid w:val="00D246EA"/>
    <w:rsid w:val="00D24E36"/>
    <w:rsid w:val="00D25214"/>
    <w:rsid w:val="00D301F3"/>
    <w:rsid w:val="00D30A90"/>
    <w:rsid w:val="00D33A43"/>
    <w:rsid w:val="00D341DC"/>
    <w:rsid w:val="00D414C6"/>
    <w:rsid w:val="00D4247C"/>
    <w:rsid w:val="00D437B1"/>
    <w:rsid w:val="00D44602"/>
    <w:rsid w:val="00D46082"/>
    <w:rsid w:val="00D5201D"/>
    <w:rsid w:val="00D52BC7"/>
    <w:rsid w:val="00D545E9"/>
    <w:rsid w:val="00D5585E"/>
    <w:rsid w:val="00D6042B"/>
    <w:rsid w:val="00D6348F"/>
    <w:rsid w:val="00D63C44"/>
    <w:rsid w:val="00D702FD"/>
    <w:rsid w:val="00D70786"/>
    <w:rsid w:val="00D71CBD"/>
    <w:rsid w:val="00D77CDD"/>
    <w:rsid w:val="00D81183"/>
    <w:rsid w:val="00D825E5"/>
    <w:rsid w:val="00D83869"/>
    <w:rsid w:val="00D83D43"/>
    <w:rsid w:val="00D86912"/>
    <w:rsid w:val="00D91122"/>
    <w:rsid w:val="00D934B7"/>
    <w:rsid w:val="00D938A1"/>
    <w:rsid w:val="00D9561A"/>
    <w:rsid w:val="00D95F47"/>
    <w:rsid w:val="00D963EC"/>
    <w:rsid w:val="00DA00F1"/>
    <w:rsid w:val="00DA149C"/>
    <w:rsid w:val="00DA32DA"/>
    <w:rsid w:val="00DB195B"/>
    <w:rsid w:val="00DB4CEE"/>
    <w:rsid w:val="00DB6086"/>
    <w:rsid w:val="00DC0948"/>
    <w:rsid w:val="00DC1840"/>
    <w:rsid w:val="00DC4A75"/>
    <w:rsid w:val="00DC552D"/>
    <w:rsid w:val="00DC652A"/>
    <w:rsid w:val="00DC69F4"/>
    <w:rsid w:val="00DD35BF"/>
    <w:rsid w:val="00DD5252"/>
    <w:rsid w:val="00DD7F0A"/>
    <w:rsid w:val="00DE29B0"/>
    <w:rsid w:val="00DE2F9C"/>
    <w:rsid w:val="00DE3755"/>
    <w:rsid w:val="00DE5C7F"/>
    <w:rsid w:val="00DE6CDA"/>
    <w:rsid w:val="00DE7474"/>
    <w:rsid w:val="00DF2C9F"/>
    <w:rsid w:val="00DF3066"/>
    <w:rsid w:val="00DF3526"/>
    <w:rsid w:val="00DF35CF"/>
    <w:rsid w:val="00DF39A2"/>
    <w:rsid w:val="00DF5F41"/>
    <w:rsid w:val="00E00E0B"/>
    <w:rsid w:val="00E01AF7"/>
    <w:rsid w:val="00E02FAB"/>
    <w:rsid w:val="00E031C9"/>
    <w:rsid w:val="00E03B80"/>
    <w:rsid w:val="00E03CA3"/>
    <w:rsid w:val="00E04E5F"/>
    <w:rsid w:val="00E05D76"/>
    <w:rsid w:val="00E129F3"/>
    <w:rsid w:val="00E168BC"/>
    <w:rsid w:val="00E207A8"/>
    <w:rsid w:val="00E20C29"/>
    <w:rsid w:val="00E249C4"/>
    <w:rsid w:val="00E25967"/>
    <w:rsid w:val="00E261E2"/>
    <w:rsid w:val="00E346DF"/>
    <w:rsid w:val="00E409FD"/>
    <w:rsid w:val="00E42744"/>
    <w:rsid w:val="00E433EE"/>
    <w:rsid w:val="00E43671"/>
    <w:rsid w:val="00E437C4"/>
    <w:rsid w:val="00E50CC1"/>
    <w:rsid w:val="00E51A2B"/>
    <w:rsid w:val="00E52187"/>
    <w:rsid w:val="00E534A9"/>
    <w:rsid w:val="00E5378A"/>
    <w:rsid w:val="00E54657"/>
    <w:rsid w:val="00E55850"/>
    <w:rsid w:val="00E57D4A"/>
    <w:rsid w:val="00E61E3D"/>
    <w:rsid w:val="00E63C57"/>
    <w:rsid w:val="00E67FC6"/>
    <w:rsid w:val="00E71F5E"/>
    <w:rsid w:val="00E72DC0"/>
    <w:rsid w:val="00E73304"/>
    <w:rsid w:val="00E7425C"/>
    <w:rsid w:val="00E776AD"/>
    <w:rsid w:val="00E77F44"/>
    <w:rsid w:val="00E817A7"/>
    <w:rsid w:val="00E849A4"/>
    <w:rsid w:val="00E85E42"/>
    <w:rsid w:val="00E90185"/>
    <w:rsid w:val="00E91009"/>
    <w:rsid w:val="00E93267"/>
    <w:rsid w:val="00E943E3"/>
    <w:rsid w:val="00E9747D"/>
    <w:rsid w:val="00EA08EC"/>
    <w:rsid w:val="00EA4130"/>
    <w:rsid w:val="00EA44AA"/>
    <w:rsid w:val="00EA4D88"/>
    <w:rsid w:val="00EA6000"/>
    <w:rsid w:val="00EA66E2"/>
    <w:rsid w:val="00EA6879"/>
    <w:rsid w:val="00EB38DE"/>
    <w:rsid w:val="00EB481E"/>
    <w:rsid w:val="00EB593A"/>
    <w:rsid w:val="00EB679A"/>
    <w:rsid w:val="00EC16A2"/>
    <w:rsid w:val="00EC32FC"/>
    <w:rsid w:val="00EC374D"/>
    <w:rsid w:val="00EC4F72"/>
    <w:rsid w:val="00ED08C0"/>
    <w:rsid w:val="00ED16B6"/>
    <w:rsid w:val="00ED267E"/>
    <w:rsid w:val="00ED3F0B"/>
    <w:rsid w:val="00ED5134"/>
    <w:rsid w:val="00ED7092"/>
    <w:rsid w:val="00ED7A72"/>
    <w:rsid w:val="00EE09EE"/>
    <w:rsid w:val="00EE2E2C"/>
    <w:rsid w:val="00EE403D"/>
    <w:rsid w:val="00EE740D"/>
    <w:rsid w:val="00EF0487"/>
    <w:rsid w:val="00EF1159"/>
    <w:rsid w:val="00EF23ED"/>
    <w:rsid w:val="00EF2D67"/>
    <w:rsid w:val="00EF39DA"/>
    <w:rsid w:val="00EF7720"/>
    <w:rsid w:val="00EF7FA5"/>
    <w:rsid w:val="00F02308"/>
    <w:rsid w:val="00F03EC5"/>
    <w:rsid w:val="00F05217"/>
    <w:rsid w:val="00F07675"/>
    <w:rsid w:val="00F11541"/>
    <w:rsid w:val="00F11CDB"/>
    <w:rsid w:val="00F12C61"/>
    <w:rsid w:val="00F1315E"/>
    <w:rsid w:val="00F14C11"/>
    <w:rsid w:val="00F15FC5"/>
    <w:rsid w:val="00F1672B"/>
    <w:rsid w:val="00F17DD1"/>
    <w:rsid w:val="00F207E3"/>
    <w:rsid w:val="00F22BE5"/>
    <w:rsid w:val="00F33B87"/>
    <w:rsid w:val="00F33F08"/>
    <w:rsid w:val="00F370DA"/>
    <w:rsid w:val="00F370FE"/>
    <w:rsid w:val="00F4040C"/>
    <w:rsid w:val="00F450A4"/>
    <w:rsid w:val="00F45D74"/>
    <w:rsid w:val="00F46631"/>
    <w:rsid w:val="00F46695"/>
    <w:rsid w:val="00F47E58"/>
    <w:rsid w:val="00F5018F"/>
    <w:rsid w:val="00F579D0"/>
    <w:rsid w:val="00F634B4"/>
    <w:rsid w:val="00F64BD2"/>
    <w:rsid w:val="00F66D40"/>
    <w:rsid w:val="00F675A6"/>
    <w:rsid w:val="00F72399"/>
    <w:rsid w:val="00F7335E"/>
    <w:rsid w:val="00F73DFE"/>
    <w:rsid w:val="00F74EEA"/>
    <w:rsid w:val="00F836C7"/>
    <w:rsid w:val="00F85868"/>
    <w:rsid w:val="00F85929"/>
    <w:rsid w:val="00F86DFD"/>
    <w:rsid w:val="00F91F94"/>
    <w:rsid w:val="00F92949"/>
    <w:rsid w:val="00F92C86"/>
    <w:rsid w:val="00F950DD"/>
    <w:rsid w:val="00F9542B"/>
    <w:rsid w:val="00F97341"/>
    <w:rsid w:val="00FA1C71"/>
    <w:rsid w:val="00FA1E2E"/>
    <w:rsid w:val="00FA4B28"/>
    <w:rsid w:val="00FA5D17"/>
    <w:rsid w:val="00FB16DB"/>
    <w:rsid w:val="00FB3B6E"/>
    <w:rsid w:val="00FB40BE"/>
    <w:rsid w:val="00FB4423"/>
    <w:rsid w:val="00FC0756"/>
    <w:rsid w:val="00FC2E93"/>
    <w:rsid w:val="00FC4CAE"/>
    <w:rsid w:val="00FC5B22"/>
    <w:rsid w:val="00FD5823"/>
    <w:rsid w:val="00FF3324"/>
    <w:rsid w:val="00FF3591"/>
    <w:rsid w:val="00FF3AB7"/>
    <w:rsid w:val="00FF49BA"/>
    <w:rsid w:val="00FF5F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24E36"/>
    <w:pPr>
      <w:spacing w:after="120"/>
    </w:pPr>
    <w:rPr>
      <w:sz w:val="24"/>
      <w:szCs w:val="24"/>
      <w:lang w:eastAsia="en-US"/>
    </w:rPr>
  </w:style>
  <w:style w:type="paragraph" w:styleId="Heading1">
    <w:name w:val="heading 1"/>
    <w:basedOn w:val="Normal"/>
    <w:next w:val="Normal"/>
    <w:qFormat/>
    <w:rsid w:val="0022774E"/>
    <w:pPr>
      <w:pageBreakBefore/>
      <w:jc w:val="center"/>
      <w:outlineLvl w:val="0"/>
    </w:pPr>
    <w:rPr>
      <w:rFonts w:ascii="Arial" w:hAnsi="Arial" w:cs="Arial"/>
      <w:b/>
      <w:smallCaps/>
      <w:kern w:val="34"/>
      <w:sz w:val="34"/>
    </w:rPr>
  </w:style>
  <w:style w:type="paragraph" w:styleId="Heading2">
    <w:name w:val="heading 2"/>
    <w:basedOn w:val="Normal"/>
    <w:next w:val="Normal"/>
    <w:qFormat/>
    <w:rsid w:val="008911A8"/>
    <w:pPr>
      <w:keepNext/>
      <w:spacing w:before="240"/>
      <w:ind w:left="1701" w:hanging="1701"/>
      <w:outlineLvl w:val="1"/>
    </w:pPr>
    <w:rPr>
      <w:rFonts w:ascii="Arial" w:hAnsi="Arial" w:cs="Arial"/>
      <w:b/>
      <w:smallCaps/>
    </w:rPr>
  </w:style>
  <w:style w:type="paragraph" w:styleId="Heading3">
    <w:name w:val="heading 3"/>
    <w:basedOn w:val="Normal"/>
    <w:next w:val="Normal"/>
    <w:qFormat/>
    <w:rsid w:val="00690BE1"/>
    <w:pPr>
      <w:keepNext/>
      <w:outlineLvl w:val="2"/>
    </w:pPr>
    <w:rPr>
      <w:b/>
      <w:bCs/>
      <w:i/>
      <w:smallCaps/>
      <w:snapToGrid w:val="0"/>
      <w:color w:val="000000"/>
    </w:rPr>
  </w:style>
  <w:style w:type="paragraph" w:styleId="Heading4">
    <w:name w:val="heading 4"/>
    <w:basedOn w:val="Heading3"/>
    <w:next w:val="Normal"/>
    <w:qFormat/>
    <w:rsid w:val="00577713"/>
    <w:pPr>
      <w:outlineLvl w:val="3"/>
    </w:pPr>
  </w:style>
  <w:style w:type="paragraph" w:styleId="Heading5">
    <w:name w:val="heading 5"/>
    <w:basedOn w:val="Normal"/>
    <w:next w:val="Normal"/>
    <w:qFormat/>
    <w:rsid w:val="0022774E"/>
    <w:pPr>
      <w:keepNext/>
      <w:outlineLvl w:val="4"/>
    </w:pPr>
    <w:rPr>
      <w:rFonts w:ascii="Arial" w:hAnsi="Arial" w:cs="Arial"/>
      <w:b/>
      <w:color w:val="000000"/>
    </w:rPr>
  </w:style>
  <w:style w:type="paragraph" w:styleId="Heading6">
    <w:name w:val="heading 6"/>
    <w:basedOn w:val="Normal"/>
    <w:next w:val="Normal"/>
    <w:qFormat/>
    <w:rsid w:val="00577713"/>
    <w:pPr>
      <w:keepNext/>
      <w:outlineLvl w:val="5"/>
    </w:pPr>
    <w:rPr>
      <w:rFonts w:ascii="Arial" w:hAnsi="Arial" w:cs="Arial"/>
      <w:b/>
      <w:snapToGrid w:val="0"/>
      <w:color w:val="000000"/>
    </w:rPr>
  </w:style>
  <w:style w:type="paragraph" w:styleId="Heading7">
    <w:name w:val="heading 7"/>
    <w:basedOn w:val="Normal"/>
    <w:next w:val="Normal"/>
    <w:qFormat/>
    <w:rsid w:val="0022774E"/>
    <w:pPr>
      <w:spacing w:after="100"/>
      <w:outlineLvl w:val="6"/>
    </w:pPr>
    <w:rPr>
      <w:rFonts w:ascii="Arial" w:hAnsi="Arial" w:cs="Arial"/>
      <w:color w:val="000000"/>
      <w:sz w:val="18"/>
    </w:rPr>
  </w:style>
  <w:style w:type="paragraph" w:styleId="Heading8">
    <w:name w:val="heading 8"/>
    <w:basedOn w:val="Normal"/>
    <w:next w:val="Normal"/>
    <w:qFormat/>
    <w:rsid w:val="0095334D"/>
    <w:pPr>
      <w:keepNext/>
      <w:spacing w:before="40" w:after="40"/>
      <w:ind w:left="720"/>
      <w:outlineLvl w:val="7"/>
    </w:pPr>
    <w:rPr>
      <w:rFonts w:ascii="Arial" w:hAnsi="Arial"/>
      <w:b/>
      <w:sz w:val="16"/>
    </w:rPr>
  </w:style>
  <w:style w:type="paragraph" w:styleId="Heading9">
    <w:name w:val="heading 9"/>
    <w:basedOn w:val="Normal"/>
    <w:next w:val="Normal"/>
    <w:qFormat/>
    <w:rsid w:val="0095334D"/>
    <w:pPr>
      <w:keepNext/>
      <w:tabs>
        <w:tab w:val="left" w:pos="284"/>
      </w:tabs>
      <w:spacing w:before="40" w:after="40"/>
      <w:ind w:left="284"/>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basedOn w:val="Normal"/>
    <w:rsid w:val="0095334D"/>
    <w:pPr>
      <w:tabs>
        <w:tab w:val="left" w:pos="357"/>
        <w:tab w:val="left" w:pos="720"/>
        <w:tab w:val="left" w:pos="1077"/>
        <w:tab w:val="left" w:pos="1441"/>
      </w:tabs>
      <w:spacing w:after="60"/>
      <w:ind w:left="284" w:hanging="284"/>
    </w:pPr>
    <w:rPr>
      <w:snapToGrid w:val="0"/>
    </w:rPr>
  </w:style>
  <w:style w:type="paragraph" w:customStyle="1" w:styleId="Tablenumber">
    <w:name w:val="Table number"/>
    <w:basedOn w:val="TableNormal1"/>
    <w:rsid w:val="0095334D"/>
    <w:pPr>
      <w:jc w:val="right"/>
    </w:pPr>
  </w:style>
  <w:style w:type="paragraph" w:styleId="Footer">
    <w:name w:val="footer"/>
    <w:basedOn w:val="Normal"/>
    <w:link w:val="FooterChar"/>
    <w:uiPriority w:val="99"/>
    <w:rsid w:val="0022774E"/>
    <w:pPr>
      <w:spacing w:after="0"/>
      <w:jc w:val="center"/>
    </w:pPr>
    <w:rPr>
      <w:rFonts w:ascii="Arial" w:hAnsi="Arial" w:cs="Arial"/>
      <w:color w:val="000000"/>
    </w:rPr>
  </w:style>
  <w:style w:type="character" w:styleId="PageNumber">
    <w:name w:val="page number"/>
    <w:basedOn w:val="DefaultParagraphFont"/>
    <w:rsid w:val="004C055C"/>
    <w:rPr>
      <w:rFonts w:ascii="Arial" w:hAnsi="Arial" w:cs="Arial"/>
    </w:rPr>
  </w:style>
  <w:style w:type="paragraph" w:styleId="Header">
    <w:name w:val="header"/>
    <w:basedOn w:val="Normal"/>
    <w:link w:val="HeaderChar"/>
    <w:uiPriority w:val="99"/>
    <w:rsid w:val="006948A3"/>
    <w:pPr>
      <w:tabs>
        <w:tab w:val="center" w:pos="4513"/>
        <w:tab w:val="right" w:pos="9026"/>
      </w:tabs>
    </w:pPr>
  </w:style>
  <w:style w:type="character" w:customStyle="1" w:styleId="HeaderChar">
    <w:name w:val="Header Char"/>
    <w:basedOn w:val="DefaultParagraphFont"/>
    <w:link w:val="Header"/>
    <w:uiPriority w:val="99"/>
    <w:rsid w:val="006948A3"/>
    <w:rPr>
      <w:rFonts w:ascii="Book Antiqua" w:hAnsi="Book Antiqua"/>
      <w:szCs w:val="24"/>
      <w:lang w:eastAsia="en-US"/>
    </w:rPr>
  </w:style>
  <w:style w:type="character" w:customStyle="1" w:styleId="FooterChar">
    <w:name w:val="Footer Char"/>
    <w:basedOn w:val="DefaultParagraphFont"/>
    <w:link w:val="Footer"/>
    <w:uiPriority w:val="99"/>
    <w:rsid w:val="006948A3"/>
    <w:rPr>
      <w:rFonts w:ascii="Arial" w:hAnsi="Arial" w:cs="Arial"/>
      <w:color w:val="000000"/>
      <w:szCs w:val="24"/>
      <w:lang w:eastAsia="en-US"/>
    </w:rPr>
  </w:style>
  <w:style w:type="paragraph" w:styleId="TOC2">
    <w:name w:val="toc 2"/>
    <w:basedOn w:val="Normal"/>
    <w:next w:val="Normal"/>
    <w:uiPriority w:val="39"/>
    <w:qFormat/>
    <w:rsid w:val="00014969"/>
    <w:pPr>
      <w:spacing w:after="0"/>
      <w:ind w:left="240"/>
    </w:pPr>
    <w:rPr>
      <w:rFonts w:asciiTheme="minorHAnsi" w:hAnsiTheme="minorHAnsi"/>
      <w:smallCaps/>
      <w:sz w:val="20"/>
      <w:szCs w:val="20"/>
    </w:rPr>
  </w:style>
  <w:style w:type="paragraph" w:styleId="FootnoteText">
    <w:name w:val="footnote text"/>
    <w:basedOn w:val="Normal"/>
    <w:semiHidden/>
    <w:rsid w:val="004C055C"/>
    <w:pPr>
      <w:tabs>
        <w:tab w:val="left" w:pos="283"/>
      </w:tabs>
      <w:spacing w:after="0"/>
      <w:ind w:left="284" w:hanging="284"/>
    </w:pPr>
    <w:rPr>
      <w:color w:val="000000"/>
      <w:sz w:val="18"/>
      <w:szCs w:val="20"/>
    </w:rPr>
  </w:style>
  <w:style w:type="paragraph" w:customStyle="1" w:styleId="TableBodyText">
    <w:name w:val="TableBodyText"/>
    <w:basedOn w:val="Normal"/>
    <w:next w:val="Normal"/>
    <w:rsid w:val="0095334D"/>
    <w:pPr>
      <w:spacing w:before="20" w:after="20"/>
    </w:pPr>
    <w:rPr>
      <w:rFonts w:ascii="Tahoma" w:hAnsi="Tahoma"/>
      <w:sz w:val="16"/>
    </w:rPr>
  </w:style>
  <w:style w:type="character" w:styleId="FootnoteReference">
    <w:name w:val="footnote reference"/>
    <w:basedOn w:val="DefaultParagraphFont"/>
    <w:semiHidden/>
    <w:rsid w:val="004C055C"/>
    <w:rPr>
      <w:rFonts w:ascii="Book Antiqua" w:hAnsi="Book Antiqua"/>
      <w:dstrike w:val="0"/>
      <w:sz w:val="20"/>
      <w:vertAlign w:val="superscript"/>
    </w:rPr>
  </w:style>
  <w:style w:type="paragraph" w:styleId="TOC1">
    <w:name w:val="toc 1"/>
    <w:basedOn w:val="Normal"/>
    <w:next w:val="Normal"/>
    <w:uiPriority w:val="39"/>
    <w:qFormat/>
    <w:rsid w:val="00014969"/>
    <w:pPr>
      <w:spacing w:before="120"/>
    </w:pPr>
    <w:rPr>
      <w:rFonts w:asciiTheme="minorHAnsi" w:hAnsiTheme="minorHAnsi"/>
      <w:b/>
      <w:bCs/>
      <w:caps/>
      <w:sz w:val="20"/>
      <w:szCs w:val="20"/>
    </w:rPr>
  </w:style>
  <w:style w:type="paragraph" w:styleId="TOC3">
    <w:name w:val="toc 3"/>
    <w:basedOn w:val="TOC1"/>
    <w:next w:val="Normal"/>
    <w:uiPriority w:val="39"/>
    <w:qFormat/>
    <w:rsid w:val="00A63A20"/>
    <w:pPr>
      <w:spacing w:before="0" w:after="0"/>
      <w:ind w:left="480"/>
    </w:pPr>
    <w:rPr>
      <w:b w:val="0"/>
      <w:bCs w:val="0"/>
      <w:i/>
      <w:iCs/>
      <w:caps w:val="0"/>
    </w:rPr>
  </w:style>
  <w:style w:type="paragraph" w:styleId="TOC4">
    <w:name w:val="toc 4"/>
    <w:basedOn w:val="Normal"/>
    <w:next w:val="Normal"/>
    <w:autoRedefine/>
    <w:semiHidden/>
    <w:rsid w:val="004C055C"/>
    <w:pPr>
      <w:spacing w:after="0"/>
      <w:ind w:left="720"/>
    </w:pPr>
    <w:rPr>
      <w:rFonts w:asciiTheme="minorHAnsi" w:hAnsiTheme="minorHAnsi"/>
      <w:sz w:val="18"/>
      <w:szCs w:val="18"/>
    </w:rPr>
  </w:style>
  <w:style w:type="paragraph" w:styleId="TOC5">
    <w:name w:val="toc 5"/>
    <w:basedOn w:val="Normal"/>
    <w:next w:val="Normal"/>
    <w:autoRedefine/>
    <w:semiHidden/>
    <w:rsid w:val="004C055C"/>
    <w:pPr>
      <w:spacing w:after="0"/>
      <w:ind w:left="960"/>
    </w:pPr>
    <w:rPr>
      <w:rFonts w:asciiTheme="minorHAnsi" w:hAnsiTheme="minorHAnsi"/>
      <w:sz w:val="18"/>
      <w:szCs w:val="18"/>
    </w:rPr>
  </w:style>
  <w:style w:type="paragraph" w:styleId="TOC6">
    <w:name w:val="toc 6"/>
    <w:basedOn w:val="Normal"/>
    <w:next w:val="Normal"/>
    <w:autoRedefine/>
    <w:semiHidden/>
    <w:rsid w:val="004C055C"/>
    <w:pPr>
      <w:spacing w:after="0"/>
      <w:ind w:left="1200"/>
    </w:pPr>
    <w:rPr>
      <w:rFonts w:asciiTheme="minorHAnsi" w:hAnsiTheme="minorHAnsi"/>
      <w:sz w:val="18"/>
      <w:szCs w:val="18"/>
    </w:rPr>
  </w:style>
  <w:style w:type="paragraph" w:styleId="TOC7">
    <w:name w:val="toc 7"/>
    <w:basedOn w:val="Normal"/>
    <w:next w:val="Normal"/>
    <w:autoRedefine/>
    <w:semiHidden/>
    <w:rsid w:val="004C055C"/>
    <w:pPr>
      <w:spacing w:after="0"/>
      <w:ind w:left="1440"/>
    </w:pPr>
    <w:rPr>
      <w:rFonts w:asciiTheme="minorHAnsi" w:hAnsiTheme="minorHAnsi"/>
      <w:sz w:val="18"/>
      <w:szCs w:val="18"/>
    </w:rPr>
  </w:style>
  <w:style w:type="paragraph" w:styleId="TOC8">
    <w:name w:val="toc 8"/>
    <w:basedOn w:val="Normal"/>
    <w:next w:val="Normal"/>
    <w:autoRedefine/>
    <w:semiHidden/>
    <w:rsid w:val="004C055C"/>
    <w:pPr>
      <w:spacing w:after="0"/>
      <w:ind w:left="1680"/>
    </w:pPr>
    <w:rPr>
      <w:rFonts w:asciiTheme="minorHAnsi" w:hAnsiTheme="minorHAnsi"/>
      <w:sz w:val="18"/>
      <w:szCs w:val="18"/>
    </w:rPr>
  </w:style>
  <w:style w:type="paragraph" w:styleId="TOC9">
    <w:name w:val="toc 9"/>
    <w:basedOn w:val="Normal"/>
    <w:next w:val="Normal"/>
    <w:autoRedefine/>
    <w:semiHidden/>
    <w:rsid w:val="004C055C"/>
    <w:pPr>
      <w:spacing w:after="0"/>
      <w:ind w:left="1920"/>
    </w:pPr>
    <w:rPr>
      <w:rFonts w:asciiTheme="minorHAnsi" w:hAnsiTheme="minorHAnsi"/>
      <w:sz w:val="18"/>
      <w:szCs w:val="18"/>
    </w:rPr>
  </w:style>
  <w:style w:type="paragraph" w:styleId="TableofFigures">
    <w:name w:val="table of figures"/>
    <w:basedOn w:val="Normal"/>
    <w:next w:val="Normal"/>
    <w:semiHidden/>
    <w:rsid w:val="0095334D"/>
    <w:pPr>
      <w:spacing w:before="120" w:after="0"/>
      <w:ind w:left="964" w:right="567" w:hanging="964"/>
    </w:pPr>
  </w:style>
  <w:style w:type="character" w:styleId="Hyperlink">
    <w:name w:val="Hyperlink"/>
    <w:basedOn w:val="DefaultParagraphFont"/>
    <w:uiPriority w:val="99"/>
    <w:rsid w:val="0095334D"/>
    <w:rPr>
      <w:color w:val="0000FF"/>
      <w:u w:val="single"/>
    </w:rPr>
  </w:style>
  <w:style w:type="character" w:styleId="FollowedHyperlink">
    <w:name w:val="FollowedHyperlink"/>
    <w:basedOn w:val="DefaultParagraphFont"/>
    <w:rsid w:val="0095334D"/>
    <w:rPr>
      <w:color w:val="800080"/>
      <w:u w:val="single"/>
    </w:rPr>
  </w:style>
  <w:style w:type="paragraph" w:styleId="BalloonText">
    <w:name w:val="Balloon Text"/>
    <w:basedOn w:val="Normal"/>
    <w:semiHidden/>
    <w:rsid w:val="00C57A1D"/>
    <w:rPr>
      <w:rFonts w:ascii="Tahoma" w:hAnsi="Tahoma" w:cs="Tahoma"/>
      <w:sz w:val="16"/>
      <w:szCs w:val="16"/>
    </w:rPr>
  </w:style>
  <w:style w:type="paragraph" w:customStyle="1" w:styleId="SingleParagraph">
    <w:name w:val="Single Paragraph"/>
    <w:basedOn w:val="Normal"/>
    <w:next w:val="Normal"/>
    <w:rsid w:val="00554D44"/>
    <w:pPr>
      <w:spacing w:after="0"/>
    </w:pPr>
  </w:style>
  <w:style w:type="paragraph" w:customStyle="1" w:styleId="Bullet">
    <w:name w:val="Bullet"/>
    <w:basedOn w:val="Normal"/>
    <w:rsid w:val="00915C6D"/>
    <w:pPr>
      <w:numPr>
        <w:numId w:val="32"/>
      </w:numPr>
    </w:pPr>
    <w:rPr>
      <w:color w:val="000000"/>
      <w:szCs w:val="20"/>
      <w:lang w:eastAsia="en-AU"/>
    </w:rPr>
  </w:style>
  <w:style w:type="paragraph" w:styleId="Index1">
    <w:name w:val="index 1"/>
    <w:basedOn w:val="Normal"/>
    <w:next w:val="Normal"/>
    <w:autoRedefine/>
    <w:semiHidden/>
    <w:rsid w:val="004C055C"/>
    <w:pPr>
      <w:spacing w:before="40" w:after="0"/>
      <w:ind w:left="198" w:hanging="198"/>
    </w:pPr>
    <w:rPr>
      <w:noProof/>
      <w:color w:val="000000"/>
      <w:sz w:val="18"/>
    </w:rPr>
  </w:style>
  <w:style w:type="paragraph" w:styleId="Index2">
    <w:name w:val="index 2"/>
    <w:basedOn w:val="Normal"/>
    <w:next w:val="Normal"/>
    <w:autoRedefine/>
    <w:semiHidden/>
    <w:rsid w:val="004C055C"/>
    <w:pPr>
      <w:spacing w:after="60"/>
      <w:ind w:left="396" w:hanging="198"/>
    </w:pPr>
    <w:rPr>
      <w:color w:val="000000"/>
      <w:sz w:val="18"/>
    </w:rPr>
  </w:style>
  <w:style w:type="paragraph" w:styleId="Index3">
    <w:name w:val="index 3"/>
    <w:basedOn w:val="Normal"/>
    <w:next w:val="Normal"/>
    <w:autoRedefine/>
    <w:semiHidden/>
    <w:rsid w:val="004C055C"/>
    <w:pPr>
      <w:ind w:left="601" w:hanging="198"/>
    </w:pPr>
    <w:rPr>
      <w:color w:val="000000"/>
      <w:sz w:val="18"/>
    </w:rPr>
  </w:style>
  <w:style w:type="paragraph" w:styleId="IndexHeading">
    <w:name w:val="index heading"/>
    <w:basedOn w:val="Normal"/>
    <w:next w:val="Index1"/>
    <w:semiHidden/>
    <w:rsid w:val="004C055C"/>
    <w:pPr>
      <w:spacing w:before="240"/>
      <w:jc w:val="center"/>
    </w:pPr>
    <w:rPr>
      <w:rFonts w:ascii="Arial" w:hAnsi="Arial" w:cs="Arial"/>
      <w:b/>
      <w:bCs/>
      <w:color w:val="000000"/>
    </w:rPr>
  </w:style>
  <w:style w:type="table" w:styleId="TableGrid">
    <w:name w:val="Table Grid"/>
    <w:basedOn w:val="TableNormal"/>
    <w:uiPriority w:val="59"/>
    <w:rsid w:val="00DC552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PHeading1">
    <w:name w:val="TP Heading 1"/>
    <w:basedOn w:val="Normal"/>
    <w:rsid w:val="0022774E"/>
    <w:pPr>
      <w:spacing w:after="0"/>
      <w:jc w:val="center"/>
    </w:pPr>
    <w:rPr>
      <w:rFonts w:cs="Arial"/>
      <w:caps/>
      <w:sz w:val="28"/>
    </w:rPr>
  </w:style>
  <w:style w:type="paragraph" w:customStyle="1" w:styleId="TPHeading2">
    <w:name w:val="TP Heading 2"/>
    <w:basedOn w:val="Normal"/>
    <w:rsid w:val="0022774E"/>
    <w:pPr>
      <w:spacing w:after="0"/>
      <w:jc w:val="center"/>
    </w:pPr>
    <w:rPr>
      <w:rFonts w:cs="Arial"/>
      <w:b/>
      <w:caps/>
      <w:sz w:val="36"/>
    </w:rPr>
  </w:style>
  <w:style w:type="paragraph" w:customStyle="1" w:styleId="TableText">
    <w:name w:val="TableText"/>
    <w:basedOn w:val="Normal"/>
    <w:rsid w:val="004414A6"/>
    <w:pPr>
      <w:spacing w:before="100" w:after="100"/>
    </w:pPr>
  </w:style>
  <w:style w:type="paragraph" w:styleId="EndnoteText">
    <w:name w:val="endnote text"/>
    <w:basedOn w:val="Normal"/>
    <w:semiHidden/>
    <w:rsid w:val="00600789"/>
    <w:rPr>
      <w:szCs w:val="20"/>
    </w:rPr>
  </w:style>
  <w:style w:type="character" w:styleId="EndnoteReference">
    <w:name w:val="endnote reference"/>
    <w:basedOn w:val="DefaultParagraphFont"/>
    <w:semiHidden/>
    <w:rsid w:val="00600789"/>
    <w:rPr>
      <w:vertAlign w:val="superscript"/>
    </w:rPr>
  </w:style>
  <w:style w:type="paragraph" w:customStyle="1" w:styleId="HeadingTOC">
    <w:name w:val="Heading_TOC"/>
    <w:basedOn w:val="Heading1"/>
    <w:rsid w:val="00577713"/>
  </w:style>
  <w:style w:type="paragraph" w:styleId="PlainText">
    <w:name w:val="Plain Text"/>
    <w:basedOn w:val="Normal"/>
    <w:link w:val="PlainTextChar"/>
    <w:uiPriority w:val="99"/>
    <w:unhideWhenUsed/>
    <w:rsid w:val="0016082A"/>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16082A"/>
    <w:rPr>
      <w:rFonts w:ascii="Consolas" w:eastAsia="Calibri" w:hAnsi="Consolas" w:cs="Times New Roman"/>
      <w:sz w:val="21"/>
      <w:szCs w:val="21"/>
      <w:lang w:eastAsia="en-US"/>
    </w:rPr>
  </w:style>
  <w:style w:type="paragraph" w:styleId="ListParagraph">
    <w:name w:val="List Paragraph"/>
    <w:basedOn w:val="Normal"/>
    <w:uiPriority w:val="34"/>
    <w:qFormat/>
    <w:rsid w:val="000168A0"/>
    <w:pPr>
      <w:spacing w:after="200"/>
      <w:ind w:left="720"/>
      <w:contextualSpacing/>
    </w:pPr>
    <w:rPr>
      <w:szCs w:val="20"/>
    </w:rPr>
  </w:style>
  <w:style w:type="character" w:styleId="CommentReference">
    <w:name w:val="annotation reference"/>
    <w:basedOn w:val="DefaultParagraphFont"/>
    <w:rsid w:val="00050DE0"/>
    <w:rPr>
      <w:sz w:val="16"/>
      <w:szCs w:val="16"/>
    </w:rPr>
  </w:style>
  <w:style w:type="paragraph" w:styleId="CommentText">
    <w:name w:val="annotation text"/>
    <w:basedOn w:val="Normal"/>
    <w:link w:val="CommentTextChar"/>
    <w:rsid w:val="00050DE0"/>
    <w:rPr>
      <w:szCs w:val="20"/>
    </w:rPr>
  </w:style>
  <w:style w:type="character" w:customStyle="1" w:styleId="CommentTextChar">
    <w:name w:val="Comment Text Char"/>
    <w:basedOn w:val="DefaultParagraphFont"/>
    <w:link w:val="CommentText"/>
    <w:rsid w:val="00050DE0"/>
    <w:rPr>
      <w:rFonts w:ascii="Book Antiqua" w:hAnsi="Book Antiqua"/>
      <w:lang w:eastAsia="en-US"/>
    </w:rPr>
  </w:style>
  <w:style w:type="paragraph" w:styleId="CommentSubject">
    <w:name w:val="annotation subject"/>
    <w:basedOn w:val="CommentText"/>
    <w:next w:val="CommentText"/>
    <w:link w:val="CommentSubjectChar"/>
    <w:rsid w:val="00050DE0"/>
    <w:rPr>
      <w:b/>
      <w:bCs/>
    </w:rPr>
  </w:style>
  <w:style w:type="character" w:customStyle="1" w:styleId="CommentSubjectChar">
    <w:name w:val="Comment Subject Char"/>
    <w:basedOn w:val="CommentTextChar"/>
    <w:link w:val="CommentSubject"/>
    <w:rsid w:val="00050DE0"/>
    <w:rPr>
      <w:b/>
      <w:bCs/>
    </w:rPr>
  </w:style>
  <w:style w:type="paragraph" w:styleId="Revision">
    <w:name w:val="Revision"/>
    <w:hidden/>
    <w:uiPriority w:val="99"/>
    <w:semiHidden/>
    <w:rsid w:val="00280E2E"/>
    <w:rPr>
      <w:rFonts w:ascii="Book Antiqua" w:hAnsi="Book Antiqua"/>
      <w:szCs w:val="24"/>
      <w:lang w:eastAsia="en-US"/>
    </w:rPr>
  </w:style>
  <w:style w:type="paragraph" w:customStyle="1" w:styleId="Note">
    <w:name w:val="Note"/>
    <w:basedOn w:val="Normal"/>
    <w:link w:val="NoteChar"/>
    <w:uiPriority w:val="99"/>
    <w:rsid w:val="00F17DD1"/>
    <w:pPr>
      <w:keepLines/>
      <w:spacing w:before="120" w:after="0" w:line="220" w:lineRule="exact"/>
      <w:ind w:left="964"/>
    </w:pPr>
    <w:rPr>
      <w:szCs w:val="20"/>
      <w:lang w:eastAsia="en-AU"/>
    </w:rPr>
  </w:style>
  <w:style w:type="character" w:customStyle="1" w:styleId="NoteChar">
    <w:name w:val="Note Char"/>
    <w:link w:val="Note"/>
    <w:uiPriority w:val="99"/>
    <w:locked/>
    <w:rsid w:val="00F17DD1"/>
    <w:rPr>
      <w:sz w:val="24"/>
    </w:rPr>
  </w:style>
  <w:style w:type="paragraph" w:styleId="TOCHeading">
    <w:name w:val="TOC Heading"/>
    <w:basedOn w:val="Heading1"/>
    <w:next w:val="Normal"/>
    <w:uiPriority w:val="39"/>
    <w:unhideWhenUsed/>
    <w:qFormat/>
    <w:rsid w:val="008C1F3B"/>
    <w:pPr>
      <w:keepNext/>
      <w:keepLines/>
      <w:pageBreakBefore w:val="0"/>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rPr>
  </w:style>
  <w:style w:type="table" w:styleId="TableClassic1">
    <w:name w:val="Table Classic 1"/>
    <w:basedOn w:val="TableNormal"/>
    <w:rsid w:val="00D009E0"/>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68817139">
      <w:bodyDiv w:val="1"/>
      <w:marLeft w:val="0"/>
      <w:marRight w:val="0"/>
      <w:marTop w:val="0"/>
      <w:marBottom w:val="0"/>
      <w:divBdr>
        <w:top w:val="none" w:sz="0" w:space="0" w:color="auto"/>
        <w:left w:val="none" w:sz="0" w:space="0" w:color="auto"/>
        <w:bottom w:val="none" w:sz="0" w:space="0" w:color="auto"/>
        <w:right w:val="none" w:sz="0" w:space="0" w:color="auto"/>
      </w:divBdr>
    </w:div>
    <w:div w:id="269507301">
      <w:bodyDiv w:val="1"/>
      <w:marLeft w:val="0"/>
      <w:marRight w:val="0"/>
      <w:marTop w:val="0"/>
      <w:marBottom w:val="0"/>
      <w:divBdr>
        <w:top w:val="none" w:sz="0" w:space="0" w:color="auto"/>
        <w:left w:val="none" w:sz="0" w:space="0" w:color="auto"/>
        <w:bottom w:val="none" w:sz="0" w:space="0" w:color="auto"/>
        <w:right w:val="none" w:sz="0" w:space="0" w:color="auto"/>
      </w:divBdr>
    </w:div>
    <w:div w:id="1013848312">
      <w:bodyDiv w:val="1"/>
      <w:marLeft w:val="0"/>
      <w:marRight w:val="0"/>
      <w:marTop w:val="0"/>
      <w:marBottom w:val="0"/>
      <w:divBdr>
        <w:top w:val="none" w:sz="0" w:space="0" w:color="auto"/>
        <w:left w:val="none" w:sz="0" w:space="0" w:color="auto"/>
        <w:bottom w:val="none" w:sz="0" w:space="0" w:color="auto"/>
        <w:right w:val="none" w:sz="0" w:space="0" w:color="auto"/>
      </w:divBdr>
    </w:div>
    <w:div w:id="1077946978">
      <w:bodyDiv w:val="1"/>
      <w:marLeft w:val="0"/>
      <w:marRight w:val="0"/>
      <w:marTop w:val="0"/>
      <w:marBottom w:val="0"/>
      <w:divBdr>
        <w:top w:val="none" w:sz="0" w:space="0" w:color="auto"/>
        <w:left w:val="none" w:sz="0" w:space="0" w:color="auto"/>
        <w:bottom w:val="none" w:sz="0" w:space="0" w:color="auto"/>
        <w:right w:val="none" w:sz="0" w:space="0" w:color="auto"/>
      </w:divBdr>
    </w:div>
    <w:div w:id="1809979759">
      <w:bodyDiv w:val="1"/>
      <w:marLeft w:val="0"/>
      <w:marRight w:val="0"/>
      <w:marTop w:val="0"/>
      <w:marBottom w:val="0"/>
      <w:divBdr>
        <w:top w:val="none" w:sz="0" w:space="0" w:color="auto"/>
        <w:left w:val="none" w:sz="0" w:space="0" w:color="auto"/>
        <w:bottom w:val="none" w:sz="0" w:space="0" w:color="auto"/>
        <w:right w:val="none" w:sz="0" w:space="0" w:color="auto"/>
      </w:divBdr>
    </w:div>
    <w:div w:id="20635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finance.gov.au/budget/budget-process/advance-to-finance-minister.html" TargetMode="External"/><Relationship Id="rId7" Type="http://schemas.openxmlformats.org/officeDocument/2006/relationships/settings" Target="settings.xml"/><Relationship Id="rId12" Type="http://schemas.openxmlformats.org/officeDocument/2006/relationships/hyperlink" Target="http://creativecommons.org/licenses/by/3.0/au/" TargetMode="External"/><Relationship Id="rId17" Type="http://schemas.openxmlformats.org/officeDocument/2006/relationships/hyperlink" Target="http://www.finance.gov.au/publications/advance_to_the_finance_minister/index.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tsanhonour.gov.au/coat-arms/" TargetMode="External"/><Relationship Id="rId20" Type="http://schemas.openxmlformats.org/officeDocument/2006/relationships/hyperlink" Target="http://www.comla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sanhonour.gov.au/coat-arms/"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A@finance.gov.au"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47E7-08BF-4552-AB3C-322F031A6E13}">
  <ds:schemaRefs>
    <ds:schemaRef ds:uri="http://schemas.microsoft.com/sharepoint/v3/contenttype/forms"/>
  </ds:schemaRefs>
</ds:datastoreItem>
</file>

<file path=customXml/itemProps2.xml><?xml version="1.0" encoding="utf-8"?>
<ds:datastoreItem xmlns:ds="http://schemas.openxmlformats.org/officeDocument/2006/customXml" ds:itemID="{15C1A925-4BC5-44CF-9552-56AF1E0870EE}">
  <ds:schemaRefs>
    <ds:schemaRef ds:uri="http://schemas.microsoft.com/office/2006/metadata/properties"/>
    <ds:schemaRef ds:uri="92f8bd56-8465-45fb-84ac-454baa360449"/>
  </ds:schemaRefs>
</ds:datastoreItem>
</file>

<file path=customXml/itemProps3.xml><?xml version="1.0" encoding="utf-8"?>
<ds:datastoreItem xmlns:ds="http://schemas.openxmlformats.org/officeDocument/2006/customXml" ds:itemID="{A795B748-CCB0-4638-8356-B3B3CC290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BA916D-9110-4651-9330-894BC2C7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2697</Words>
  <Characters>17297</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19955</CharactersWithSpaces>
  <SharedDoc>false</SharedDoc>
  <HLinks>
    <vt:vector size="12" baseType="variant">
      <vt:variant>
        <vt:i4>1441794</vt:i4>
      </vt:variant>
      <vt:variant>
        <vt:i4>12</vt:i4>
      </vt:variant>
      <vt:variant>
        <vt:i4>0</vt:i4>
      </vt:variant>
      <vt:variant>
        <vt:i4>5</vt:i4>
      </vt:variant>
      <vt:variant>
        <vt:lpwstr>http://www.finance.gov.au/budget/budget-process/advance-to-finance-minister.html</vt:lpwstr>
      </vt:variant>
      <vt:variant>
        <vt:lpwstr/>
      </vt:variant>
      <vt:variant>
        <vt:i4>5373963</vt:i4>
      </vt:variant>
      <vt:variant>
        <vt:i4>3</vt:i4>
      </vt:variant>
      <vt:variant>
        <vt:i4>0</vt:i4>
      </vt:variant>
      <vt:variant>
        <vt:i4>5</vt:i4>
      </vt:variant>
      <vt:variant>
        <vt:lpwstr>http://www.ag.gov.au/cca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advances provided under the annual Appropriation Acts for the year ended 30 June 2013</dc:title>
  <dc:creator>Department of Finance</dc:creator>
  <cp:lastModifiedBy/>
  <cp:revision>1</cp:revision>
  <cp:lastPrinted>2009-09-16T22:45:00Z</cp:lastPrinted>
  <dcterms:created xsi:type="dcterms:W3CDTF">2014-02-12T22:59:00Z</dcterms:created>
  <dcterms:modified xsi:type="dcterms:W3CDTF">2014-02-12T23:01:00Z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0x010100D5EBCAED125CEB43B39DAD94BDEC00A1</vt:lpwstr>
  </property>
  <property fmtid="{D5CDD505-2E9C-101B-9397-08002B2CF9AE}" pid="3" name="_NewReviewCycle">
    <vt:lpwstr/>
  </property>
</Properties>
</file>