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45" w:rsidRDefault="00361F45" w:rsidP="00947554">
      <w:pPr>
        <w:jc w:val="center"/>
        <w:rPr>
          <w:szCs w:val="24"/>
        </w:rPr>
      </w:pPr>
    </w:p>
    <w:p w:rsidR="004356CA" w:rsidRDefault="004356CA" w:rsidP="00947554">
      <w:pPr>
        <w:jc w:val="center"/>
        <w:rPr>
          <w:szCs w:val="24"/>
        </w:rPr>
      </w:pPr>
    </w:p>
    <w:p w:rsidR="004356CA" w:rsidRPr="004356CA" w:rsidRDefault="004356CA" w:rsidP="00947554">
      <w:pPr>
        <w:jc w:val="center"/>
        <w:rPr>
          <w:szCs w:val="24"/>
        </w:rPr>
      </w:pPr>
    </w:p>
    <w:p w:rsidR="00361F45" w:rsidRDefault="00361F45" w:rsidP="00947554">
      <w:pPr>
        <w:jc w:val="center"/>
        <w:rPr>
          <w:b/>
          <w:sz w:val="28"/>
        </w:rPr>
      </w:pPr>
      <w:r>
        <w:rPr>
          <w:b/>
          <w:sz w:val="28"/>
        </w:rPr>
        <w:t xml:space="preserve">   </w:t>
      </w:r>
      <w:r w:rsidR="004356CA">
        <w:rPr>
          <w:caps/>
          <w:noProof/>
          <w:lang w:eastAsia="en-AU"/>
        </w:rPr>
        <w:drawing>
          <wp:inline distT="0" distB="0" distL="0" distR="0">
            <wp:extent cx="2438400" cy="135763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38400" cy="1357630"/>
                    </a:xfrm>
                    <a:prstGeom prst="rect">
                      <a:avLst/>
                    </a:prstGeom>
                    <a:noFill/>
                    <a:ln w="9525">
                      <a:noFill/>
                      <a:miter lim="800000"/>
                      <a:headEnd/>
                      <a:tailEnd/>
                    </a:ln>
                  </pic:spPr>
                </pic:pic>
              </a:graphicData>
            </a:graphic>
          </wp:inline>
        </w:drawing>
      </w:r>
    </w:p>
    <w:p w:rsidR="00361F45" w:rsidRPr="001940A3" w:rsidRDefault="00361F45" w:rsidP="00947554">
      <w:pPr>
        <w:jc w:val="center"/>
        <w:rPr>
          <w:sz w:val="28"/>
        </w:rPr>
      </w:pPr>
    </w:p>
    <w:p w:rsidR="00361F45" w:rsidRPr="001940A3" w:rsidRDefault="00361F45" w:rsidP="00947554">
      <w:pPr>
        <w:jc w:val="center"/>
        <w:rPr>
          <w:sz w:val="28"/>
        </w:rPr>
      </w:pPr>
    </w:p>
    <w:p w:rsidR="00361F45" w:rsidRPr="001940A3" w:rsidRDefault="00361F45" w:rsidP="00947554">
      <w:pPr>
        <w:jc w:val="center"/>
        <w:rPr>
          <w:sz w:val="28"/>
        </w:rPr>
      </w:pPr>
    </w:p>
    <w:p w:rsidR="004356CA" w:rsidRPr="006D5AA3" w:rsidRDefault="004356CA" w:rsidP="006D5AA3">
      <w:pPr>
        <w:pStyle w:val="Heading1"/>
      </w:pPr>
      <w:r w:rsidRPr="006D5AA3">
        <w:t xml:space="preserve">Australian Government response to the </w:t>
      </w:r>
      <w:r w:rsidRPr="006D5AA3">
        <w:br/>
        <w:t xml:space="preserve">Joint Committee of Public Accounts and Audit </w:t>
      </w:r>
      <w:r w:rsidR="00C469BE" w:rsidRPr="006D5AA3">
        <w:br/>
      </w:r>
      <w:r w:rsidR="00934EBC" w:rsidRPr="006D5AA3">
        <w:t>R</w:t>
      </w:r>
      <w:r w:rsidRPr="006D5AA3">
        <w:t>eport</w:t>
      </w:r>
      <w:r w:rsidR="00BF5EDF" w:rsidRPr="006D5AA3">
        <w:t xml:space="preserve"> 441</w:t>
      </w:r>
      <w:r w:rsidRPr="006D5AA3">
        <w:t>:</w:t>
      </w:r>
    </w:p>
    <w:p w:rsidR="00BF5EDF" w:rsidRPr="006D5AA3" w:rsidRDefault="00BF5EDF" w:rsidP="006D5AA3">
      <w:pPr>
        <w:pStyle w:val="Heading1"/>
      </w:pPr>
    </w:p>
    <w:p w:rsidR="00BF5EDF" w:rsidRPr="006D5AA3" w:rsidRDefault="00BF5EDF" w:rsidP="006D5AA3">
      <w:pPr>
        <w:pStyle w:val="Heading1"/>
      </w:pPr>
      <w:r w:rsidRPr="006D5AA3">
        <w:t xml:space="preserve">Inquiry into Public Governance, Performance and Accountability Act 2013 Rules </w:t>
      </w:r>
      <w:r w:rsidR="00934EBC" w:rsidRPr="006D5AA3">
        <w:t>D</w:t>
      </w:r>
      <w:r w:rsidRPr="006D5AA3">
        <w:t>evelopment</w:t>
      </w:r>
    </w:p>
    <w:p w:rsidR="00BF5EDF" w:rsidRDefault="00BF5EDF" w:rsidP="00BF5EDF">
      <w:pPr>
        <w:jc w:val="center"/>
        <w:rPr>
          <w:sz w:val="36"/>
          <w:szCs w:val="36"/>
        </w:rPr>
      </w:pPr>
    </w:p>
    <w:p w:rsidR="00361F45" w:rsidRPr="00DC31E1" w:rsidRDefault="00361F45" w:rsidP="00947554">
      <w:pPr>
        <w:jc w:val="center"/>
        <w:rPr>
          <w:b/>
          <w:sz w:val="28"/>
        </w:rPr>
      </w:pPr>
    </w:p>
    <w:p w:rsidR="00734BC0" w:rsidRPr="00D032B3" w:rsidRDefault="00734BC0" w:rsidP="00947554">
      <w:pPr>
        <w:jc w:val="center"/>
        <w:rPr>
          <w:i/>
          <w:sz w:val="28"/>
        </w:rPr>
      </w:pPr>
    </w:p>
    <w:p w:rsidR="00734BC0" w:rsidRPr="00D032B3" w:rsidRDefault="00734BC0" w:rsidP="00947554">
      <w:pPr>
        <w:jc w:val="center"/>
        <w:rPr>
          <w:i/>
          <w:sz w:val="28"/>
        </w:rPr>
      </w:pPr>
    </w:p>
    <w:p w:rsidR="00734BC0" w:rsidRPr="00D032B3" w:rsidRDefault="00734BC0" w:rsidP="00947554">
      <w:pPr>
        <w:jc w:val="center"/>
        <w:rPr>
          <w:i/>
          <w:sz w:val="28"/>
        </w:rPr>
      </w:pPr>
    </w:p>
    <w:p w:rsidR="00734BC0" w:rsidRPr="00D032B3" w:rsidRDefault="00734BC0" w:rsidP="00947554">
      <w:pPr>
        <w:jc w:val="center"/>
        <w:rPr>
          <w:i/>
          <w:sz w:val="28"/>
        </w:rPr>
      </w:pPr>
    </w:p>
    <w:p w:rsidR="00734BC0" w:rsidRPr="00D032B3" w:rsidRDefault="00734BC0" w:rsidP="00947554">
      <w:pPr>
        <w:jc w:val="center"/>
        <w:rPr>
          <w:i/>
          <w:sz w:val="28"/>
        </w:rPr>
      </w:pPr>
    </w:p>
    <w:p w:rsidR="00734BC0" w:rsidRPr="00D032B3" w:rsidRDefault="00734BC0" w:rsidP="00947554">
      <w:pPr>
        <w:jc w:val="center"/>
        <w:rPr>
          <w:sz w:val="28"/>
        </w:rPr>
      </w:pPr>
    </w:p>
    <w:p w:rsidR="00734BC0" w:rsidRPr="00D032B3" w:rsidRDefault="00734BC0" w:rsidP="00947554">
      <w:pPr>
        <w:jc w:val="center"/>
        <w:rPr>
          <w:sz w:val="28"/>
        </w:rPr>
      </w:pPr>
    </w:p>
    <w:p w:rsidR="00734BC0" w:rsidRPr="00D032B3" w:rsidRDefault="00734BC0" w:rsidP="00947554">
      <w:pPr>
        <w:jc w:val="center"/>
        <w:rPr>
          <w:sz w:val="28"/>
        </w:rPr>
      </w:pPr>
    </w:p>
    <w:p w:rsidR="00734BC0" w:rsidRPr="00D032B3" w:rsidRDefault="00734BC0" w:rsidP="00947554">
      <w:pPr>
        <w:jc w:val="center"/>
        <w:rPr>
          <w:sz w:val="28"/>
        </w:rPr>
      </w:pPr>
    </w:p>
    <w:p w:rsidR="00734BC0" w:rsidRPr="00D032B3" w:rsidRDefault="00734BC0" w:rsidP="00947554">
      <w:pPr>
        <w:jc w:val="center"/>
        <w:rPr>
          <w:sz w:val="28"/>
        </w:rPr>
      </w:pPr>
    </w:p>
    <w:p w:rsidR="00361F45" w:rsidRPr="00D032B3" w:rsidRDefault="00361F45" w:rsidP="00947554">
      <w:pPr>
        <w:jc w:val="center"/>
        <w:rPr>
          <w:sz w:val="28"/>
        </w:rPr>
      </w:pPr>
    </w:p>
    <w:p w:rsidR="00361F45" w:rsidRPr="00D032B3" w:rsidRDefault="00361F45" w:rsidP="00947554">
      <w:pPr>
        <w:jc w:val="center"/>
        <w:rPr>
          <w:sz w:val="28"/>
        </w:rPr>
      </w:pPr>
    </w:p>
    <w:p w:rsidR="00361F45" w:rsidRPr="00D032B3" w:rsidRDefault="00361F45" w:rsidP="00947554">
      <w:pPr>
        <w:jc w:val="center"/>
        <w:rPr>
          <w:sz w:val="28"/>
        </w:rPr>
      </w:pPr>
    </w:p>
    <w:p w:rsidR="00BF5EDF" w:rsidRDefault="00BF5EDF" w:rsidP="00BF5EDF">
      <w:pPr>
        <w:jc w:val="center"/>
        <w:rPr>
          <w:sz w:val="36"/>
          <w:szCs w:val="36"/>
        </w:rPr>
      </w:pPr>
    </w:p>
    <w:p w:rsidR="00BF5EDF" w:rsidRPr="00D63A15" w:rsidRDefault="00BF5EDF" w:rsidP="00BF5EDF">
      <w:pPr>
        <w:jc w:val="center"/>
        <w:rPr>
          <w:caps/>
          <w:sz w:val="36"/>
          <w:szCs w:val="36"/>
        </w:rPr>
      </w:pPr>
    </w:p>
    <w:p w:rsidR="00BF5EDF" w:rsidRDefault="00BF5EDF" w:rsidP="00BF5EDF">
      <w:pPr>
        <w:jc w:val="right"/>
        <w:rPr>
          <w:caps/>
          <w:sz w:val="28"/>
          <w:szCs w:val="28"/>
        </w:rPr>
      </w:pPr>
      <w:r>
        <w:rPr>
          <w:sz w:val="28"/>
          <w:szCs w:val="28"/>
        </w:rPr>
        <w:t>September</w:t>
      </w:r>
      <w:r w:rsidRPr="0040025C">
        <w:rPr>
          <w:sz w:val="28"/>
          <w:szCs w:val="28"/>
        </w:rPr>
        <w:t xml:space="preserve"> </w:t>
      </w:r>
      <w:r>
        <w:rPr>
          <w:sz w:val="28"/>
          <w:szCs w:val="28"/>
        </w:rPr>
        <w:t>2014</w:t>
      </w:r>
    </w:p>
    <w:p w:rsidR="00BF5EDF" w:rsidRPr="0040025C" w:rsidRDefault="00BF5EDF" w:rsidP="00BF5EDF">
      <w:pPr>
        <w:jc w:val="right"/>
        <w:rPr>
          <w:caps/>
          <w:sz w:val="28"/>
          <w:szCs w:val="28"/>
        </w:rPr>
      </w:pPr>
    </w:p>
    <w:p w:rsidR="00C83934" w:rsidRPr="00C83934" w:rsidRDefault="00C83934" w:rsidP="00C83934"/>
    <w:p w:rsidR="00BF5EDF" w:rsidRDefault="00BF5EDF">
      <w:pPr>
        <w:rPr>
          <w:b/>
          <w:i/>
          <w:sz w:val="28"/>
          <w:szCs w:val="28"/>
        </w:rPr>
      </w:pPr>
      <w:r>
        <w:rPr>
          <w:b/>
          <w:i/>
          <w:szCs w:val="28"/>
        </w:rPr>
        <w:br w:type="page"/>
      </w:r>
    </w:p>
    <w:p w:rsidR="0005191B" w:rsidRPr="0019253D" w:rsidRDefault="006F30B5" w:rsidP="006D5AA3">
      <w:pPr>
        <w:pStyle w:val="Heading2"/>
      </w:pPr>
      <w:r w:rsidRPr="006F30B5">
        <w:lastRenderedPageBreak/>
        <w:t xml:space="preserve">Inquiry into Public Governance, Performance and Accountability Act 2013 Rules development </w:t>
      </w:r>
      <w:r w:rsidR="0005191B" w:rsidRPr="00502D61">
        <w:t xml:space="preserve">(No. </w:t>
      </w:r>
      <w:r w:rsidR="00C63139">
        <w:t>441</w:t>
      </w:r>
      <w:r>
        <w:t xml:space="preserve"> of 2014</w:t>
      </w:r>
      <w:r w:rsidR="0005191B" w:rsidRPr="00502D61">
        <w:t>)</w:t>
      </w:r>
    </w:p>
    <w:p w:rsidR="0005191B" w:rsidRPr="0019253D" w:rsidRDefault="0005191B" w:rsidP="0005191B">
      <w:pPr>
        <w:rPr>
          <w:b/>
          <w:szCs w:val="24"/>
        </w:rPr>
      </w:pPr>
    </w:p>
    <w:p w:rsidR="003614D8" w:rsidRPr="0019253D" w:rsidRDefault="003614D8" w:rsidP="00947554">
      <w:pPr>
        <w:rPr>
          <w:szCs w:val="24"/>
        </w:rPr>
      </w:pPr>
    </w:p>
    <w:p w:rsidR="00A968E4" w:rsidRPr="006D5AA3" w:rsidRDefault="00A968E4" w:rsidP="006D5AA3">
      <w:pPr>
        <w:pStyle w:val="Heading2"/>
      </w:pPr>
      <w:r w:rsidRPr="006D5AA3">
        <w:t>Recommendation 1</w:t>
      </w:r>
    </w:p>
    <w:p w:rsidR="003614D8" w:rsidRPr="0019253D" w:rsidRDefault="003614D8" w:rsidP="00947554">
      <w:pPr>
        <w:rPr>
          <w:szCs w:val="24"/>
        </w:rPr>
      </w:pPr>
    </w:p>
    <w:p w:rsidR="00A968E4" w:rsidRDefault="006F30B5" w:rsidP="006F30B5">
      <w:pPr>
        <w:autoSpaceDE w:val="0"/>
        <w:autoSpaceDN w:val="0"/>
        <w:rPr>
          <w:bCs/>
        </w:rPr>
      </w:pPr>
      <w:r w:rsidRPr="006F30B5">
        <w:rPr>
          <w:bCs/>
        </w:rPr>
        <w:t xml:space="preserve">The Committee recommends that the Department of Finance review all </w:t>
      </w:r>
      <w:r w:rsidRPr="006F30B5">
        <w:rPr>
          <w:bCs/>
          <w:i/>
        </w:rPr>
        <w:t>Public Governance, Performance and Accountability Act 2013</w:t>
      </w:r>
      <w:r w:rsidRPr="006F30B5">
        <w:rPr>
          <w:bCs/>
        </w:rPr>
        <w:t xml:space="preserve"> guidance material to improve consistency in</w:t>
      </w:r>
      <w:r>
        <w:rPr>
          <w:bCs/>
        </w:rPr>
        <w:t>:</w:t>
      </w:r>
    </w:p>
    <w:p w:rsidR="006F30B5" w:rsidRPr="006F30B5" w:rsidRDefault="00EE2798" w:rsidP="006F30B5">
      <w:pPr>
        <w:pStyle w:val="ListParagraph"/>
        <w:numPr>
          <w:ilvl w:val="0"/>
          <w:numId w:val="11"/>
        </w:numPr>
        <w:autoSpaceDE w:val="0"/>
        <w:autoSpaceDN w:val="0"/>
        <w:spacing w:before="60"/>
        <w:rPr>
          <w:rFonts w:ascii="Times New Roman" w:hAnsi="Times New Roman"/>
          <w:bCs/>
          <w:sz w:val="24"/>
          <w:szCs w:val="20"/>
          <w:lang w:val="en-AU"/>
        </w:rPr>
      </w:pPr>
      <w:r>
        <w:rPr>
          <w:rFonts w:ascii="Times New Roman" w:hAnsi="Times New Roman"/>
          <w:bCs/>
          <w:sz w:val="24"/>
          <w:szCs w:val="20"/>
          <w:lang w:val="en-AU"/>
        </w:rPr>
        <w:t>c</w:t>
      </w:r>
      <w:r w:rsidR="006F30B5" w:rsidRPr="006F30B5">
        <w:rPr>
          <w:rFonts w:ascii="Times New Roman" w:hAnsi="Times New Roman"/>
          <w:bCs/>
          <w:sz w:val="24"/>
          <w:szCs w:val="20"/>
          <w:lang w:val="en-AU"/>
        </w:rPr>
        <w:t>ontext provided</w:t>
      </w:r>
    </w:p>
    <w:p w:rsidR="006F30B5" w:rsidRPr="006F30B5" w:rsidRDefault="00EE2798" w:rsidP="006F30B5">
      <w:pPr>
        <w:pStyle w:val="ListParagraph"/>
        <w:numPr>
          <w:ilvl w:val="0"/>
          <w:numId w:val="11"/>
        </w:numPr>
        <w:autoSpaceDE w:val="0"/>
        <w:autoSpaceDN w:val="0"/>
        <w:spacing w:before="60"/>
        <w:rPr>
          <w:rFonts w:ascii="Times New Roman" w:hAnsi="Times New Roman"/>
          <w:bCs/>
          <w:sz w:val="24"/>
          <w:szCs w:val="20"/>
          <w:lang w:val="en-AU"/>
        </w:rPr>
      </w:pPr>
      <w:r>
        <w:rPr>
          <w:rFonts w:ascii="Times New Roman" w:hAnsi="Times New Roman"/>
          <w:bCs/>
          <w:sz w:val="24"/>
          <w:szCs w:val="20"/>
          <w:lang w:val="en-AU"/>
        </w:rPr>
        <w:t>d</w:t>
      </w:r>
      <w:r w:rsidR="006F30B5" w:rsidRPr="006F30B5">
        <w:rPr>
          <w:rFonts w:ascii="Times New Roman" w:hAnsi="Times New Roman"/>
          <w:bCs/>
          <w:sz w:val="24"/>
          <w:szCs w:val="20"/>
          <w:lang w:val="en-AU"/>
        </w:rPr>
        <w:t>ocument structure</w:t>
      </w:r>
    </w:p>
    <w:p w:rsidR="006F30B5" w:rsidRPr="006F30B5" w:rsidRDefault="00EE2798" w:rsidP="006F30B5">
      <w:pPr>
        <w:pStyle w:val="ListParagraph"/>
        <w:numPr>
          <w:ilvl w:val="0"/>
          <w:numId w:val="11"/>
        </w:numPr>
        <w:autoSpaceDE w:val="0"/>
        <w:autoSpaceDN w:val="0"/>
        <w:spacing w:before="60"/>
        <w:rPr>
          <w:rFonts w:ascii="Times New Roman" w:hAnsi="Times New Roman"/>
          <w:bCs/>
          <w:sz w:val="24"/>
          <w:szCs w:val="20"/>
          <w:lang w:val="en-AU"/>
        </w:rPr>
      </w:pPr>
      <w:proofErr w:type="gramStart"/>
      <w:r>
        <w:rPr>
          <w:rFonts w:ascii="Times New Roman" w:hAnsi="Times New Roman"/>
          <w:bCs/>
          <w:sz w:val="24"/>
          <w:szCs w:val="20"/>
          <w:lang w:val="en-AU"/>
        </w:rPr>
        <w:t>d</w:t>
      </w:r>
      <w:r w:rsidR="006F30B5" w:rsidRPr="006F30B5">
        <w:rPr>
          <w:rFonts w:ascii="Times New Roman" w:hAnsi="Times New Roman"/>
          <w:bCs/>
          <w:sz w:val="24"/>
          <w:szCs w:val="20"/>
          <w:lang w:val="en-AU"/>
        </w:rPr>
        <w:t>istinguishing</w:t>
      </w:r>
      <w:proofErr w:type="gramEnd"/>
      <w:r w:rsidR="006F30B5" w:rsidRPr="006F30B5">
        <w:rPr>
          <w:rFonts w:ascii="Times New Roman" w:hAnsi="Times New Roman"/>
          <w:bCs/>
          <w:sz w:val="24"/>
          <w:szCs w:val="20"/>
          <w:lang w:val="en-AU"/>
        </w:rPr>
        <w:t xml:space="preserve"> between mandatory requirements and good practice terminology.</w:t>
      </w:r>
    </w:p>
    <w:p w:rsidR="003614D8" w:rsidRPr="0019253D" w:rsidRDefault="003614D8" w:rsidP="00947554">
      <w:pPr>
        <w:rPr>
          <w:szCs w:val="24"/>
        </w:rPr>
      </w:pPr>
    </w:p>
    <w:p w:rsidR="003614D8" w:rsidRPr="00D07274" w:rsidRDefault="003614D8" w:rsidP="006D5AA3">
      <w:pPr>
        <w:pStyle w:val="Heading2"/>
      </w:pPr>
      <w:r w:rsidRPr="00D07274">
        <w:t>Response</w:t>
      </w:r>
    </w:p>
    <w:p w:rsidR="006F30B5" w:rsidRDefault="006F30B5" w:rsidP="006F30B5">
      <w:pPr>
        <w:autoSpaceDE w:val="0"/>
        <w:autoSpaceDN w:val="0"/>
        <w:rPr>
          <w:bCs/>
        </w:rPr>
      </w:pPr>
    </w:p>
    <w:p w:rsidR="003614D8" w:rsidRDefault="006F30B5" w:rsidP="006F30B5">
      <w:pPr>
        <w:autoSpaceDE w:val="0"/>
        <w:autoSpaceDN w:val="0"/>
        <w:rPr>
          <w:bCs/>
        </w:rPr>
      </w:pPr>
      <w:r w:rsidRPr="006F30B5">
        <w:rPr>
          <w:bCs/>
        </w:rPr>
        <w:t>The Government agrees.</w:t>
      </w:r>
    </w:p>
    <w:p w:rsidR="006F30B5" w:rsidRPr="006F30B5" w:rsidRDefault="006F30B5" w:rsidP="006F30B5">
      <w:pPr>
        <w:autoSpaceDE w:val="0"/>
        <w:autoSpaceDN w:val="0"/>
        <w:rPr>
          <w:bCs/>
        </w:rPr>
      </w:pPr>
    </w:p>
    <w:p w:rsidR="009A6EA3" w:rsidRPr="006F30B5" w:rsidRDefault="006F30B5" w:rsidP="006F30B5">
      <w:pPr>
        <w:autoSpaceDE w:val="0"/>
        <w:autoSpaceDN w:val="0"/>
        <w:rPr>
          <w:bCs/>
        </w:rPr>
      </w:pPr>
      <w:r w:rsidRPr="006F30B5">
        <w:rPr>
          <w:bCs/>
        </w:rPr>
        <w:t xml:space="preserve">Since the JCPAA inquiry, Finance has revised all guidance material and engaged an independent technical expert whom has assessed the guidance for overall comprehensiveness, coverage and clarity. </w:t>
      </w:r>
      <w:r w:rsidR="00EE2798">
        <w:rPr>
          <w:bCs/>
        </w:rPr>
        <w:t xml:space="preserve"> </w:t>
      </w:r>
      <w:r w:rsidRPr="006F30B5">
        <w:rPr>
          <w:bCs/>
        </w:rPr>
        <w:t xml:space="preserve">Finance has also engaged professional editors to check the guidance for consistency and clarity. </w:t>
      </w:r>
      <w:r w:rsidR="00EE2798">
        <w:rPr>
          <w:bCs/>
        </w:rPr>
        <w:t xml:space="preserve"> </w:t>
      </w:r>
      <w:r w:rsidRPr="006F30B5">
        <w:rPr>
          <w:bCs/>
        </w:rPr>
        <w:t>Final guidance, which clarifies mandatory requirements and matters that can be considered as good practice, has been progressively released on the Finance Public Management Reform Agenda website.</w:t>
      </w:r>
    </w:p>
    <w:p w:rsidR="0019253D" w:rsidRDefault="0019253D" w:rsidP="009A6EA3">
      <w:pPr>
        <w:rPr>
          <w:szCs w:val="24"/>
        </w:rPr>
      </w:pPr>
    </w:p>
    <w:p w:rsidR="006F30B5" w:rsidRPr="0019253D" w:rsidRDefault="006F30B5" w:rsidP="009A6EA3">
      <w:pPr>
        <w:rPr>
          <w:szCs w:val="24"/>
        </w:rPr>
      </w:pPr>
    </w:p>
    <w:p w:rsidR="00A968E4" w:rsidRPr="0019253D" w:rsidRDefault="00A968E4" w:rsidP="006D5AA3">
      <w:pPr>
        <w:pStyle w:val="Heading2"/>
      </w:pPr>
      <w:r w:rsidRPr="0019253D">
        <w:t>Recommendation 2</w:t>
      </w:r>
    </w:p>
    <w:p w:rsidR="003614D8" w:rsidRPr="0019253D" w:rsidRDefault="003614D8" w:rsidP="00947554">
      <w:pPr>
        <w:rPr>
          <w:szCs w:val="24"/>
        </w:rPr>
      </w:pPr>
    </w:p>
    <w:p w:rsidR="0019253D" w:rsidRPr="00EE2798" w:rsidRDefault="006F30B5" w:rsidP="0019253D">
      <w:pPr>
        <w:autoSpaceDE w:val="0"/>
        <w:autoSpaceDN w:val="0"/>
        <w:rPr>
          <w:bCs/>
          <w:szCs w:val="24"/>
        </w:rPr>
      </w:pPr>
      <w:r w:rsidRPr="00EE2798">
        <w:rPr>
          <w:color w:val="000000"/>
          <w:szCs w:val="24"/>
        </w:rPr>
        <w:t>The Committee recommends that the following additional guiding principle be included as one of the guiding principles for the Public Management Reform Agenda</w:t>
      </w:r>
      <w:r w:rsidR="00D07274" w:rsidRPr="00EE2798">
        <w:rPr>
          <w:bCs/>
          <w:szCs w:val="24"/>
        </w:rPr>
        <w:t>:</w:t>
      </w:r>
    </w:p>
    <w:p w:rsidR="006F30B5" w:rsidRPr="006F30B5" w:rsidRDefault="006F30B5" w:rsidP="006F30B5">
      <w:pPr>
        <w:pStyle w:val="ListParagraph"/>
        <w:numPr>
          <w:ilvl w:val="0"/>
          <w:numId w:val="11"/>
        </w:numPr>
        <w:autoSpaceDE w:val="0"/>
        <w:autoSpaceDN w:val="0"/>
        <w:spacing w:before="60"/>
        <w:rPr>
          <w:rFonts w:ascii="Times New Roman" w:hAnsi="Times New Roman"/>
          <w:bCs/>
          <w:sz w:val="24"/>
          <w:szCs w:val="20"/>
          <w:lang w:val="en-AU"/>
        </w:rPr>
      </w:pPr>
      <w:r w:rsidRPr="006F30B5">
        <w:rPr>
          <w:rFonts w:ascii="Times New Roman" w:hAnsi="Times New Roman"/>
          <w:bCs/>
          <w:sz w:val="24"/>
          <w:szCs w:val="20"/>
          <w:lang w:val="en-AU"/>
        </w:rPr>
        <w:t>The financial framework, including the rules and supporting policy and guidance, should support the legitimate requirements of the Government and the Parliament in discharging their respective responsibilities</w:t>
      </w:r>
      <w:r w:rsidR="00D07274">
        <w:rPr>
          <w:rFonts w:ascii="Times New Roman" w:hAnsi="Times New Roman"/>
          <w:bCs/>
          <w:sz w:val="24"/>
          <w:szCs w:val="20"/>
          <w:lang w:val="en-AU"/>
        </w:rPr>
        <w:t>.</w:t>
      </w:r>
    </w:p>
    <w:p w:rsidR="002C116C" w:rsidRPr="0019253D" w:rsidRDefault="002C116C" w:rsidP="002C116C">
      <w:pPr>
        <w:autoSpaceDE w:val="0"/>
        <w:autoSpaceDN w:val="0"/>
        <w:adjustRightInd w:val="0"/>
        <w:rPr>
          <w:szCs w:val="24"/>
        </w:rPr>
      </w:pPr>
    </w:p>
    <w:p w:rsidR="003614D8" w:rsidRPr="00D07274" w:rsidRDefault="003614D8" w:rsidP="006D5AA3">
      <w:pPr>
        <w:pStyle w:val="Heading2"/>
      </w:pPr>
      <w:r w:rsidRPr="00D07274">
        <w:t>Response</w:t>
      </w:r>
    </w:p>
    <w:p w:rsidR="009A6EA3" w:rsidRPr="0019253D" w:rsidRDefault="009A6EA3" w:rsidP="00564DF8">
      <w:pPr>
        <w:autoSpaceDE w:val="0"/>
        <w:autoSpaceDN w:val="0"/>
        <w:adjustRightInd w:val="0"/>
        <w:rPr>
          <w:color w:val="000000"/>
          <w:szCs w:val="24"/>
        </w:rPr>
      </w:pPr>
    </w:p>
    <w:p w:rsidR="00D07274" w:rsidRDefault="00D07274" w:rsidP="00D07274">
      <w:pPr>
        <w:autoSpaceDE w:val="0"/>
        <w:autoSpaceDN w:val="0"/>
        <w:rPr>
          <w:bCs/>
        </w:rPr>
      </w:pPr>
      <w:r w:rsidRPr="006F30B5">
        <w:rPr>
          <w:bCs/>
        </w:rPr>
        <w:t>The Government agrees.</w:t>
      </w:r>
    </w:p>
    <w:p w:rsidR="00D07274" w:rsidRPr="006F30B5" w:rsidRDefault="00D07274" w:rsidP="00D07274">
      <w:pPr>
        <w:autoSpaceDE w:val="0"/>
        <w:autoSpaceDN w:val="0"/>
        <w:rPr>
          <w:bCs/>
        </w:rPr>
      </w:pPr>
    </w:p>
    <w:p w:rsidR="00287B4B" w:rsidRPr="002F2C45" w:rsidRDefault="00D07274" w:rsidP="00A100DE">
      <w:pPr>
        <w:rPr>
          <w:iCs/>
          <w:szCs w:val="24"/>
        </w:rPr>
      </w:pPr>
      <w:r>
        <w:rPr>
          <w:szCs w:val="24"/>
        </w:rPr>
        <w:t xml:space="preserve">The additional guiding principle has been adopted and will be reflected in future reforms.  For example, the submission from the Department of Finance to the Senate Finance and Public Administration Legislation Committee inquiry into the </w:t>
      </w:r>
      <w:r w:rsidRPr="00810D6E">
        <w:rPr>
          <w:i/>
          <w:szCs w:val="24"/>
        </w:rPr>
        <w:t xml:space="preserve">Public Governance, Performance and Accountability </w:t>
      </w:r>
      <w:r>
        <w:rPr>
          <w:i/>
          <w:szCs w:val="24"/>
        </w:rPr>
        <w:t>Amendment Bill</w:t>
      </w:r>
      <w:r w:rsidRPr="00810D6E">
        <w:rPr>
          <w:i/>
          <w:szCs w:val="24"/>
        </w:rPr>
        <w:t xml:space="preserve"> 201</w:t>
      </w:r>
      <w:r>
        <w:rPr>
          <w:i/>
          <w:szCs w:val="24"/>
        </w:rPr>
        <w:t xml:space="preserve">4 </w:t>
      </w:r>
      <w:r w:rsidRPr="0036753E">
        <w:rPr>
          <w:szCs w:val="24"/>
        </w:rPr>
        <w:t>(PGPA Amendment Bill)</w:t>
      </w:r>
      <w:r>
        <w:rPr>
          <w:szCs w:val="24"/>
        </w:rPr>
        <w:t>, on 6 June 2014, adopted this additional guiding principle on page 3, as did the Government’s second reading speeches in both chambers in relation to this Bill.</w:t>
      </w:r>
    </w:p>
    <w:p w:rsidR="0019253D" w:rsidRDefault="0019253D" w:rsidP="0019253D">
      <w:pPr>
        <w:autoSpaceDE w:val="0"/>
        <w:autoSpaceDN w:val="0"/>
        <w:rPr>
          <w:szCs w:val="24"/>
        </w:rPr>
      </w:pPr>
    </w:p>
    <w:p w:rsidR="00C63139" w:rsidRDefault="00C63139">
      <w:pPr>
        <w:rPr>
          <w:szCs w:val="24"/>
        </w:rPr>
      </w:pPr>
      <w:r>
        <w:rPr>
          <w:szCs w:val="24"/>
        </w:rPr>
        <w:br w:type="page"/>
      </w:r>
    </w:p>
    <w:p w:rsidR="00D07274" w:rsidRDefault="00D07274" w:rsidP="0019253D">
      <w:pPr>
        <w:autoSpaceDE w:val="0"/>
        <w:autoSpaceDN w:val="0"/>
        <w:rPr>
          <w:szCs w:val="24"/>
        </w:rPr>
      </w:pPr>
    </w:p>
    <w:p w:rsidR="00D07274" w:rsidRPr="0019253D" w:rsidRDefault="00D07274" w:rsidP="006D5AA3">
      <w:pPr>
        <w:pStyle w:val="Heading2"/>
      </w:pPr>
      <w:r>
        <w:t>Recommendation 3</w:t>
      </w:r>
    </w:p>
    <w:p w:rsidR="00D07274" w:rsidRPr="0019253D" w:rsidRDefault="00D07274" w:rsidP="00D07274">
      <w:pPr>
        <w:rPr>
          <w:szCs w:val="24"/>
        </w:rPr>
      </w:pPr>
    </w:p>
    <w:p w:rsidR="00D07274" w:rsidRPr="00A12C03" w:rsidRDefault="00A12C03" w:rsidP="00A12C03">
      <w:pPr>
        <w:autoSpaceDE w:val="0"/>
        <w:autoSpaceDN w:val="0"/>
        <w:rPr>
          <w:bCs/>
        </w:rPr>
      </w:pPr>
      <w:r w:rsidRPr="00A12C03">
        <w:rPr>
          <w:bCs/>
        </w:rPr>
        <w:t xml:space="preserve">The Committee recommends that the Department of Finance work to ensure that any necessary amendments are made to the </w:t>
      </w:r>
      <w:r w:rsidRPr="00A12C03">
        <w:rPr>
          <w:bCs/>
          <w:i/>
        </w:rPr>
        <w:t>Auditor-General’s Act 1997</w:t>
      </w:r>
      <w:r w:rsidRPr="00A12C03">
        <w:rPr>
          <w:bCs/>
        </w:rPr>
        <w:t xml:space="preserve"> such that the Australian National Audit Office has the power to audit the full planning, performance and accountability framework under the </w:t>
      </w:r>
      <w:r w:rsidRPr="00A12C03">
        <w:rPr>
          <w:bCs/>
          <w:i/>
        </w:rPr>
        <w:t>Public Governance, Performance and Accountability Act 2013</w:t>
      </w:r>
      <w:r>
        <w:rPr>
          <w:bCs/>
        </w:rPr>
        <w:t xml:space="preserve">. </w:t>
      </w:r>
    </w:p>
    <w:p w:rsidR="00A12C03" w:rsidRPr="0019253D" w:rsidRDefault="00A12C03" w:rsidP="00D07274">
      <w:pPr>
        <w:autoSpaceDE w:val="0"/>
        <w:autoSpaceDN w:val="0"/>
        <w:adjustRightInd w:val="0"/>
        <w:rPr>
          <w:szCs w:val="24"/>
        </w:rPr>
      </w:pPr>
    </w:p>
    <w:p w:rsidR="00D07274" w:rsidRPr="00D07274" w:rsidRDefault="00D07274" w:rsidP="006D5AA3">
      <w:pPr>
        <w:pStyle w:val="Heading2"/>
      </w:pPr>
      <w:r w:rsidRPr="00D07274">
        <w:t>Response</w:t>
      </w:r>
    </w:p>
    <w:p w:rsidR="00D07274" w:rsidRPr="0019253D" w:rsidRDefault="00D07274" w:rsidP="00D07274">
      <w:pPr>
        <w:autoSpaceDE w:val="0"/>
        <w:autoSpaceDN w:val="0"/>
        <w:adjustRightInd w:val="0"/>
        <w:rPr>
          <w:color w:val="000000"/>
          <w:szCs w:val="24"/>
        </w:rPr>
      </w:pPr>
    </w:p>
    <w:p w:rsidR="00A12C03" w:rsidRDefault="00A12C03" w:rsidP="00A12C03">
      <w:pPr>
        <w:autoSpaceDE w:val="0"/>
        <w:autoSpaceDN w:val="0"/>
        <w:rPr>
          <w:bCs/>
        </w:rPr>
      </w:pPr>
      <w:r w:rsidRPr="006F30B5">
        <w:rPr>
          <w:bCs/>
        </w:rPr>
        <w:t>The Government agrees.</w:t>
      </w:r>
    </w:p>
    <w:p w:rsidR="00A12C03" w:rsidRPr="006F30B5" w:rsidRDefault="00A12C03" w:rsidP="00A12C03">
      <w:pPr>
        <w:autoSpaceDE w:val="0"/>
        <w:autoSpaceDN w:val="0"/>
        <w:rPr>
          <w:bCs/>
        </w:rPr>
      </w:pPr>
    </w:p>
    <w:p w:rsidR="00D07274" w:rsidRDefault="00A12C03" w:rsidP="0019253D">
      <w:pPr>
        <w:autoSpaceDE w:val="0"/>
        <w:autoSpaceDN w:val="0"/>
        <w:rPr>
          <w:szCs w:val="24"/>
        </w:rPr>
      </w:pPr>
      <w:r>
        <w:rPr>
          <w:szCs w:val="24"/>
        </w:rPr>
        <w:t xml:space="preserve">The </w:t>
      </w:r>
      <w:r w:rsidRPr="003E2822">
        <w:rPr>
          <w:i/>
          <w:szCs w:val="24"/>
        </w:rPr>
        <w:t>PGPA Amendment Act 2014</w:t>
      </w:r>
      <w:r>
        <w:rPr>
          <w:szCs w:val="24"/>
        </w:rPr>
        <w:t xml:space="preserve"> modified the PGPA Act to add a note to Section 40 to put beyond doubt the continuing powers of the Auditor-General to conduct a performance audit of a Commonwealth entity at any time</w:t>
      </w:r>
      <w:r w:rsidR="004356CA">
        <w:rPr>
          <w:szCs w:val="24"/>
        </w:rPr>
        <w:t>.</w:t>
      </w:r>
    </w:p>
    <w:p w:rsidR="00D07274" w:rsidRDefault="00D07274" w:rsidP="00D07274">
      <w:pPr>
        <w:autoSpaceDE w:val="0"/>
        <w:autoSpaceDN w:val="0"/>
        <w:rPr>
          <w:szCs w:val="24"/>
        </w:rPr>
      </w:pPr>
    </w:p>
    <w:p w:rsidR="00D07274" w:rsidRDefault="00D07274" w:rsidP="00D07274">
      <w:pPr>
        <w:autoSpaceDE w:val="0"/>
        <w:autoSpaceDN w:val="0"/>
        <w:rPr>
          <w:szCs w:val="24"/>
        </w:rPr>
      </w:pPr>
    </w:p>
    <w:p w:rsidR="00D07274" w:rsidRPr="0019253D" w:rsidRDefault="00D07274" w:rsidP="006D5AA3">
      <w:pPr>
        <w:pStyle w:val="Heading2"/>
      </w:pPr>
      <w:r>
        <w:t>Recommendation 4</w:t>
      </w:r>
    </w:p>
    <w:p w:rsidR="00D07274" w:rsidRPr="0019253D" w:rsidRDefault="00D07274" w:rsidP="00D07274">
      <w:pPr>
        <w:rPr>
          <w:szCs w:val="24"/>
        </w:rPr>
      </w:pPr>
    </w:p>
    <w:p w:rsidR="00D07274" w:rsidRPr="00A12C03" w:rsidRDefault="00A12C03" w:rsidP="00A12C03">
      <w:pPr>
        <w:autoSpaceDE w:val="0"/>
        <w:autoSpaceDN w:val="0"/>
        <w:rPr>
          <w:bCs/>
        </w:rPr>
      </w:pPr>
      <w:r w:rsidRPr="00A12C03">
        <w:rPr>
          <w:bCs/>
        </w:rPr>
        <w:t xml:space="preserve">The Committee does not recommend a change to the </w:t>
      </w:r>
      <w:r w:rsidRPr="00A12C03">
        <w:rPr>
          <w:bCs/>
          <w:i/>
        </w:rPr>
        <w:t>Public Governance, Performance and Accountability Act 2013</w:t>
      </w:r>
      <w:r w:rsidRPr="00A12C03">
        <w:rPr>
          <w:bCs/>
        </w:rPr>
        <w:t xml:space="preserve"> (PGPA Act) at this time, to address the potential confusion from dual coverage with the </w:t>
      </w:r>
      <w:r w:rsidRPr="00A12C03">
        <w:rPr>
          <w:bCs/>
          <w:i/>
        </w:rPr>
        <w:t>Public Service Act 1999</w:t>
      </w:r>
      <w:r w:rsidRPr="00A12C03">
        <w:rPr>
          <w:bCs/>
        </w:rPr>
        <w:t xml:space="preserve"> (PS Act). </w:t>
      </w:r>
      <w:r>
        <w:rPr>
          <w:bCs/>
        </w:rPr>
        <w:t xml:space="preserve"> </w:t>
      </w:r>
      <w:r w:rsidRPr="00A12C03">
        <w:rPr>
          <w:bCs/>
        </w:rPr>
        <w:t xml:space="preserve">Instead, the Committee recommends that the Department of Finance and the Australian Public Service Commission work together to draft the necessary amendments to the PGPA Act and/or the PS Act to remove overlaps and reduce potential confusion from dual coverage, and </w:t>
      </w:r>
      <w:proofErr w:type="gramStart"/>
      <w:r w:rsidRPr="00A12C03">
        <w:rPr>
          <w:bCs/>
        </w:rPr>
        <w:t>that amendment proposals</w:t>
      </w:r>
      <w:proofErr w:type="gramEnd"/>
      <w:r w:rsidRPr="00A12C03">
        <w:rPr>
          <w:bCs/>
        </w:rPr>
        <w:t xml:space="preserve"> be put to the Parliament.</w:t>
      </w:r>
    </w:p>
    <w:p w:rsidR="00A12C03" w:rsidRPr="0019253D" w:rsidRDefault="00A12C03" w:rsidP="00A12C03">
      <w:pPr>
        <w:autoSpaceDE w:val="0"/>
        <w:autoSpaceDN w:val="0"/>
        <w:adjustRightInd w:val="0"/>
        <w:rPr>
          <w:szCs w:val="24"/>
        </w:rPr>
      </w:pPr>
    </w:p>
    <w:p w:rsidR="00D07274" w:rsidRPr="00D07274" w:rsidRDefault="00D07274" w:rsidP="006D5AA3">
      <w:pPr>
        <w:pStyle w:val="Heading2"/>
      </w:pPr>
      <w:r w:rsidRPr="00D07274">
        <w:t>Response</w:t>
      </w:r>
    </w:p>
    <w:p w:rsidR="00D07274" w:rsidRPr="0019253D" w:rsidRDefault="00D07274" w:rsidP="00D07274">
      <w:pPr>
        <w:autoSpaceDE w:val="0"/>
        <w:autoSpaceDN w:val="0"/>
        <w:adjustRightInd w:val="0"/>
        <w:rPr>
          <w:color w:val="000000"/>
          <w:szCs w:val="24"/>
        </w:rPr>
      </w:pPr>
    </w:p>
    <w:p w:rsidR="00A12C03" w:rsidRDefault="00A12C03" w:rsidP="00A12C03">
      <w:pPr>
        <w:autoSpaceDE w:val="0"/>
        <w:autoSpaceDN w:val="0"/>
        <w:rPr>
          <w:bCs/>
        </w:rPr>
      </w:pPr>
      <w:r w:rsidRPr="006F30B5">
        <w:rPr>
          <w:bCs/>
        </w:rPr>
        <w:t>The Government agrees.</w:t>
      </w:r>
    </w:p>
    <w:p w:rsidR="00A12C03" w:rsidRPr="006F30B5" w:rsidRDefault="00A12C03" w:rsidP="00A12C03">
      <w:pPr>
        <w:autoSpaceDE w:val="0"/>
        <w:autoSpaceDN w:val="0"/>
        <w:rPr>
          <w:bCs/>
        </w:rPr>
      </w:pPr>
    </w:p>
    <w:p w:rsidR="00A12C03" w:rsidRDefault="00A12C03" w:rsidP="00A12C03">
      <w:pPr>
        <w:autoSpaceDE w:val="0"/>
        <w:autoSpaceDN w:val="0"/>
        <w:rPr>
          <w:szCs w:val="24"/>
        </w:rPr>
      </w:pPr>
      <w:r w:rsidRPr="00A12C03">
        <w:rPr>
          <w:szCs w:val="24"/>
        </w:rPr>
        <w:t xml:space="preserve">Finance has worked with the APSC and the Department of Parliamentary Services to draft amendments to the PGPA Act, PS Act and </w:t>
      </w:r>
      <w:r w:rsidRPr="00A12C03">
        <w:rPr>
          <w:i/>
          <w:szCs w:val="24"/>
        </w:rPr>
        <w:t>Parliamentary Service Act 1999</w:t>
      </w:r>
      <w:r w:rsidRPr="00A12C03">
        <w:rPr>
          <w:szCs w:val="24"/>
        </w:rPr>
        <w:t xml:space="preserve"> to achieve greater alignment in the duties of officials and to reduce the potential for confusion. </w:t>
      </w:r>
    </w:p>
    <w:p w:rsidR="00A12C03" w:rsidRPr="00A12C03" w:rsidRDefault="00A12C03" w:rsidP="00A12C03">
      <w:pPr>
        <w:autoSpaceDE w:val="0"/>
        <w:autoSpaceDN w:val="0"/>
        <w:rPr>
          <w:szCs w:val="24"/>
        </w:rPr>
      </w:pPr>
    </w:p>
    <w:p w:rsidR="00A12C03" w:rsidRDefault="00A12C03" w:rsidP="00A12C03">
      <w:pPr>
        <w:autoSpaceDE w:val="0"/>
        <w:autoSpaceDN w:val="0"/>
        <w:rPr>
          <w:szCs w:val="24"/>
        </w:rPr>
      </w:pPr>
      <w:r w:rsidRPr="00A12C03">
        <w:rPr>
          <w:szCs w:val="24"/>
        </w:rPr>
        <w:t xml:space="preserve">The PGPA </w:t>
      </w:r>
      <w:r w:rsidRPr="00A12C03">
        <w:rPr>
          <w:i/>
          <w:szCs w:val="24"/>
        </w:rPr>
        <w:t>Amendment Act 2014</w:t>
      </w:r>
      <w:r w:rsidRPr="00A12C03">
        <w:rPr>
          <w:szCs w:val="24"/>
        </w:rPr>
        <w:t xml:space="preserve"> made the necessary changes to the PGPA Act. Reciprocal changes to the PS Act and the Parliamentary Services Act were made through the </w:t>
      </w:r>
      <w:r w:rsidRPr="00A12C03">
        <w:rPr>
          <w:i/>
          <w:szCs w:val="24"/>
        </w:rPr>
        <w:t>PGPA Consequential and Transitional Provisions Act 2014</w:t>
      </w:r>
      <w:r w:rsidRPr="00A12C03">
        <w:rPr>
          <w:szCs w:val="24"/>
        </w:rPr>
        <w:t xml:space="preserve">. </w:t>
      </w:r>
      <w:r>
        <w:rPr>
          <w:szCs w:val="24"/>
        </w:rPr>
        <w:t xml:space="preserve"> </w:t>
      </w:r>
      <w:r w:rsidRPr="00A12C03">
        <w:rPr>
          <w:szCs w:val="24"/>
        </w:rPr>
        <w:t>This suite of changes, taken together, brings about closer alignment between these pieces of legislation.</w:t>
      </w:r>
    </w:p>
    <w:p w:rsidR="00A12C03" w:rsidRPr="00A12C03" w:rsidRDefault="00A12C03" w:rsidP="00A12C03">
      <w:pPr>
        <w:autoSpaceDE w:val="0"/>
        <w:autoSpaceDN w:val="0"/>
        <w:rPr>
          <w:szCs w:val="24"/>
        </w:rPr>
      </w:pPr>
    </w:p>
    <w:p w:rsidR="00D07274" w:rsidRDefault="00A12C03" w:rsidP="00A12C03">
      <w:pPr>
        <w:autoSpaceDE w:val="0"/>
        <w:autoSpaceDN w:val="0"/>
        <w:rPr>
          <w:szCs w:val="24"/>
        </w:rPr>
      </w:pPr>
      <w:r w:rsidRPr="00A12C03">
        <w:rPr>
          <w:szCs w:val="24"/>
        </w:rPr>
        <w:t>Finance will continue to work with the APSC and the parliamentary departments to consider the need for any future changes or guidance to address the JCPAA’s concerns</w:t>
      </w:r>
      <w:r w:rsidR="004356CA">
        <w:rPr>
          <w:szCs w:val="24"/>
        </w:rPr>
        <w:t>.</w:t>
      </w:r>
    </w:p>
    <w:p w:rsidR="00D07274" w:rsidRDefault="00D07274" w:rsidP="00D07274">
      <w:pPr>
        <w:autoSpaceDE w:val="0"/>
        <w:autoSpaceDN w:val="0"/>
        <w:rPr>
          <w:szCs w:val="24"/>
        </w:rPr>
      </w:pPr>
    </w:p>
    <w:p w:rsidR="00C63139" w:rsidRDefault="00C63139">
      <w:pPr>
        <w:rPr>
          <w:szCs w:val="24"/>
        </w:rPr>
      </w:pPr>
      <w:r>
        <w:rPr>
          <w:szCs w:val="24"/>
        </w:rPr>
        <w:br w:type="page"/>
      </w:r>
    </w:p>
    <w:p w:rsidR="00D07274" w:rsidRDefault="00D07274" w:rsidP="00D07274">
      <w:pPr>
        <w:autoSpaceDE w:val="0"/>
        <w:autoSpaceDN w:val="0"/>
        <w:rPr>
          <w:szCs w:val="24"/>
        </w:rPr>
      </w:pPr>
    </w:p>
    <w:p w:rsidR="00D07274" w:rsidRPr="0019253D" w:rsidRDefault="00D07274" w:rsidP="006D5AA3">
      <w:pPr>
        <w:pStyle w:val="Heading2"/>
      </w:pPr>
      <w:r>
        <w:t>Recommendation 5</w:t>
      </w:r>
    </w:p>
    <w:p w:rsidR="00D07274" w:rsidRPr="0019253D" w:rsidRDefault="00D07274" w:rsidP="00D07274">
      <w:pPr>
        <w:rPr>
          <w:szCs w:val="24"/>
        </w:rPr>
      </w:pPr>
    </w:p>
    <w:p w:rsidR="00D07274" w:rsidRPr="004356CA" w:rsidRDefault="00A12C03" w:rsidP="00D07274">
      <w:pPr>
        <w:autoSpaceDE w:val="0"/>
        <w:autoSpaceDN w:val="0"/>
        <w:adjustRightInd w:val="0"/>
        <w:rPr>
          <w:color w:val="000000"/>
          <w:szCs w:val="24"/>
        </w:rPr>
      </w:pPr>
      <w:r w:rsidRPr="004356CA">
        <w:rPr>
          <w:color w:val="000000"/>
          <w:szCs w:val="24"/>
        </w:rPr>
        <w:t xml:space="preserve">The Committee recommends that the Department of Finance (Finance) amend the draft guidance to s17 and s28 of the draft </w:t>
      </w:r>
      <w:r w:rsidRPr="004356CA">
        <w:rPr>
          <w:i/>
          <w:iCs/>
          <w:color w:val="000000"/>
          <w:szCs w:val="24"/>
        </w:rPr>
        <w:t xml:space="preserve">Public Governance, Performance and Accountability Rule 2014 </w:t>
      </w:r>
      <w:r w:rsidRPr="004356CA">
        <w:rPr>
          <w:color w:val="000000"/>
          <w:szCs w:val="24"/>
        </w:rPr>
        <w:t>to emphasise that nothing in the draft rule precludes the chair, chief executive officer and chief financial officer of a Commonwealth body from attending audit committee meetings as an observer. Finance should also widely communicate this point.</w:t>
      </w:r>
    </w:p>
    <w:p w:rsidR="00A12C03" w:rsidRPr="0019253D" w:rsidRDefault="00A12C03" w:rsidP="00D07274">
      <w:pPr>
        <w:autoSpaceDE w:val="0"/>
        <w:autoSpaceDN w:val="0"/>
        <w:adjustRightInd w:val="0"/>
        <w:rPr>
          <w:szCs w:val="24"/>
        </w:rPr>
      </w:pPr>
    </w:p>
    <w:p w:rsidR="00D07274" w:rsidRPr="00D07274" w:rsidRDefault="00D07274" w:rsidP="006D5AA3">
      <w:pPr>
        <w:pStyle w:val="Heading2"/>
      </w:pPr>
      <w:r w:rsidRPr="00D07274">
        <w:t>Response</w:t>
      </w:r>
    </w:p>
    <w:p w:rsidR="00D07274" w:rsidRPr="0019253D" w:rsidRDefault="00D07274" w:rsidP="00D07274">
      <w:pPr>
        <w:autoSpaceDE w:val="0"/>
        <w:autoSpaceDN w:val="0"/>
        <w:adjustRightInd w:val="0"/>
        <w:rPr>
          <w:color w:val="000000"/>
          <w:szCs w:val="24"/>
        </w:rPr>
      </w:pPr>
    </w:p>
    <w:p w:rsidR="00A12C03" w:rsidRDefault="00A12C03" w:rsidP="00A12C03">
      <w:pPr>
        <w:autoSpaceDE w:val="0"/>
        <w:autoSpaceDN w:val="0"/>
        <w:rPr>
          <w:bCs/>
        </w:rPr>
      </w:pPr>
      <w:r w:rsidRPr="006F30B5">
        <w:rPr>
          <w:bCs/>
        </w:rPr>
        <w:t>The Government agrees.</w:t>
      </w:r>
    </w:p>
    <w:p w:rsidR="00A12C03" w:rsidRPr="006F30B5" w:rsidRDefault="00A12C03" w:rsidP="00A12C03">
      <w:pPr>
        <w:autoSpaceDE w:val="0"/>
        <w:autoSpaceDN w:val="0"/>
        <w:rPr>
          <w:bCs/>
        </w:rPr>
      </w:pPr>
    </w:p>
    <w:p w:rsidR="00A12C03" w:rsidRDefault="00A12C03" w:rsidP="00A12C03">
      <w:pPr>
        <w:autoSpaceDE w:val="0"/>
        <w:autoSpaceDN w:val="0"/>
        <w:rPr>
          <w:szCs w:val="24"/>
        </w:rPr>
      </w:pPr>
      <w:r w:rsidRPr="00A12C03">
        <w:rPr>
          <w:szCs w:val="24"/>
        </w:rPr>
        <w:t>Finance has amended the guidance for audit committees (</w:t>
      </w:r>
      <w:r w:rsidRPr="00A12C03">
        <w:rPr>
          <w:i/>
          <w:szCs w:val="24"/>
        </w:rPr>
        <w:t>RMG 202 – Audit Committees for Commonwealth entities and Commonwealth companies</w:t>
      </w:r>
      <w:r w:rsidRPr="00A12C03">
        <w:rPr>
          <w:szCs w:val="24"/>
        </w:rPr>
        <w:t>) to emphasise that the chair, CEO and CFO of a Commonwealth entity can attend audit committee meetings as an observer (for example, see paragraph 14 of that guidance).</w:t>
      </w:r>
    </w:p>
    <w:p w:rsidR="00A12C03" w:rsidRPr="00A12C03" w:rsidRDefault="00A12C03" w:rsidP="00A12C03">
      <w:pPr>
        <w:autoSpaceDE w:val="0"/>
        <w:autoSpaceDN w:val="0"/>
        <w:rPr>
          <w:szCs w:val="24"/>
        </w:rPr>
      </w:pPr>
    </w:p>
    <w:p w:rsidR="00D07274" w:rsidRDefault="00A12C03" w:rsidP="00A12C03">
      <w:pPr>
        <w:autoSpaceDE w:val="0"/>
        <w:autoSpaceDN w:val="0"/>
        <w:rPr>
          <w:szCs w:val="24"/>
        </w:rPr>
      </w:pPr>
      <w:r w:rsidRPr="00A12C03">
        <w:rPr>
          <w:szCs w:val="24"/>
        </w:rPr>
        <w:t>The final guidance is available from the Finance website</w:t>
      </w:r>
      <w:r w:rsidR="004356CA">
        <w:rPr>
          <w:szCs w:val="24"/>
        </w:rPr>
        <w:t>.</w:t>
      </w:r>
    </w:p>
    <w:p w:rsidR="00D07274" w:rsidRDefault="00D07274" w:rsidP="00D07274">
      <w:pPr>
        <w:autoSpaceDE w:val="0"/>
        <w:autoSpaceDN w:val="0"/>
        <w:rPr>
          <w:szCs w:val="24"/>
        </w:rPr>
      </w:pPr>
    </w:p>
    <w:p w:rsidR="00D07274" w:rsidRDefault="00D07274" w:rsidP="00D07274">
      <w:pPr>
        <w:autoSpaceDE w:val="0"/>
        <w:autoSpaceDN w:val="0"/>
        <w:rPr>
          <w:szCs w:val="24"/>
        </w:rPr>
      </w:pPr>
    </w:p>
    <w:p w:rsidR="00D07274" w:rsidRPr="0019253D" w:rsidRDefault="00D07274" w:rsidP="006D5AA3">
      <w:pPr>
        <w:pStyle w:val="Heading2"/>
      </w:pPr>
      <w:r>
        <w:t>Recommendation 6</w:t>
      </w:r>
    </w:p>
    <w:p w:rsidR="00D07274" w:rsidRPr="0019253D" w:rsidRDefault="00D07274" w:rsidP="00D07274">
      <w:pPr>
        <w:rPr>
          <w:szCs w:val="24"/>
        </w:rPr>
      </w:pPr>
    </w:p>
    <w:p w:rsidR="00D07274" w:rsidRDefault="00A12C03" w:rsidP="00D07274">
      <w:pPr>
        <w:autoSpaceDE w:val="0"/>
        <w:autoSpaceDN w:val="0"/>
        <w:adjustRightInd w:val="0"/>
        <w:rPr>
          <w:szCs w:val="24"/>
        </w:rPr>
      </w:pPr>
      <w:r w:rsidRPr="00A12C03">
        <w:rPr>
          <w:szCs w:val="24"/>
        </w:rPr>
        <w:t xml:space="preserve">The Committee recommends that draft rule s18 (Approving commitments of relevant money) of the </w:t>
      </w:r>
      <w:r w:rsidRPr="00825DE3">
        <w:rPr>
          <w:i/>
          <w:szCs w:val="24"/>
        </w:rPr>
        <w:t>Public Governance, Performance and Accountability Rule 2014</w:t>
      </w:r>
      <w:r w:rsidRPr="00A12C03">
        <w:rPr>
          <w:szCs w:val="24"/>
        </w:rPr>
        <w:t xml:space="preserve"> be amended to explicitly place an obligation on all individual officials to consider proper use and management of public resources before approving commitments of relevant money</w:t>
      </w:r>
      <w:r>
        <w:rPr>
          <w:szCs w:val="24"/>
        </w:rPr>
        <w:t>.</w:t>
      </w:r>
    </w:p>
    <w:p w:rsidR="00A12C03" w:rsidRPr="0019253D" w:rsidRDefault="00A12C03" w:rsidP="00D07274">
      <w:pPr>
        <w:autoSpaceDE w:val="0"/>
        <w:autoSpaceDN w:val="0"/>
        <w:adjustRightInd w:val="0"/>
        <w:rPr>
          <w:szCs w:val="24"/>
        </w:rPr>
      </w:pPr>
    </w:p>
    <w:p w:rsidR="00D07274" w:rsidRPr="00D07274" w:rsidRDefault="00D07274" w:rsidP="006D5AA3">
      <w:pPr>
        <w:pStyle w:val="Heading2"/>
      </w:pPr>
      <w:r w:rsidRPr="00D07274">
        <w:t>Response</w:t>
      </w:r>
    </w:p>
    <w:p w:rsidR="00D07274" w:rsidRPr="0019253D" w:rsidRDefault="00D07274" w:rsidP="00D07274">
      <w:pPr>
        <w:autoSpaceDE w:val="0"/>
        <w:autoSpaceDN w:val="0"/>
        <w:adjustRightInd w:val="0"/>
        <w:rPr>
          <w:color w:val="000000"/>
          <w:szCs w:val="24"/>
        </w:rPr>
      </w:pPr>
    </w:p>
    <w:p w:rsidR="00A12C03" w:rsidRDefault="00A12C03" w:rsidP="00A12C03">
      <w:pPr>
        <w:autoSpaceDE w:val="0"/>
        <w:autoSpaceDN w:val="0"/>
        <w:rPr>
          <w:bCs/>
        </w:rPr>
      </w:pPr>
      <w:r w:rsidRPr="006F30B5">
        <w:rPr>
          <w:bCs/>
        </w:rPr>
        <w:t>The Government agrees</w:t>
      </w:r>
      <w:r>
        <w:rPr>
          <w:bCs/>
        </w:rPr>
        <w:t xml:space="preserve"> in part</w:t>
      </w:r>
      <w:r w:rsidRPr="006F30B5">
        <w:rPr>
          <w:bCs/>
        </w:rPr>
        <w:t>.</w:t>
      </w:r>
    </w:p>
    <w:p w:rsidR="00A12C03" w:rsidRPr="006F30B5" w:rsidRDefault="00A12C03" w:rsidP="00A12C03">
      <w:pPr>
        <w:autoSpaceDE w:val="0"/>
        <w:autoSpaceDN w:val="0"/>
        <w:rPr>
          <w:bCs/>
        </w:rPr>
      </w:pPr>
    </w:p>
    <w:p w:rsidR="00825DE3" w:rsidRDefault="00825DE3" w:rsidP="00825DE3">
      <w:pPr>
        <w:autoSpaceDE w:val="0"/>
        <w:autoSpaceDN w:val="0"/>
        <w:rPr>
          <w:szCs w:val="24"/>
        </w:rPr>
      </w:pPr>
      <w:r w:rsidRPr="00825DE3">
        <w:rPr>
          <w:szCs w:val="24"/>
        </w:rPr>
        <w:t>Both Section 18 of the PGPA Rule and the guide to the section have been amended in response to this recommendation.</w:t>
      </w:r>
    </w:p>
    <w:p w:rsidR="00825DE3" w:rsidRPr="00825DE3" w:rsidRDefault="00825DE3" w:rsidP="00825DE3">
      <w:pPr>
        <w:autoSpaceDE w:val="0"/>
        <w:autoSpaceDN w:val="0"/>
        <w:rPr>
          <w:szCs w:val="24"/>
        </w:rPr>
      </w:pPr>
    </w:p>
    <w:p w:rsidR="00825DE3" w:rsidRDefault="00825DE3" w:rsidP="00825DE3">
      <w:pPr>
        <w:autoSpaceDE w:val="0"/>
        <w:autoSpaceDN w:val="0"/>
        <w:rPr>
          <w:szCs w:val="24"/>
        </w:rPr>
      </w:pPr>
      <w:r w:rsidRPr="00825DE3">
        <w:rPr>
          <w:szCs w:val="24"/>
        </w:rPr>
        <w:t xml:space="preserve">Section 18(2) of the Rule now reads that an “official must approve </w:t>
      </w:r>
      <w:proofErr w:type="gramStart"/>
      <w:r w:rsidRPr="00825DE3">
        <w:rPr>
          <w:szCs w:val="24"/>
        </w:rPr>
        <w:t>...[</w:t>
      </w:r>
      <w:proofErr w:type="gramEnd"/>
      <w:r w:rsidRPr="00825DE3">
        <w:rPr>
          <w:szCs w:val="24"/>
        </w:rPr>
        <w:t>a] commitment [of relevant money], and record the approval, consistently with any written requirements (including any requirements relating to the proposer use of that money and spending limits) specified by t</w:t>
      </w:r>
      <w:r w:rsidR="004356CA">
        <w:rPr>
          <w:szCs w:val="24"/>
        </w:rPr>
        <w:t>he accountable authority ...”.</w:t>
      </w:r>
    </w:p>
    <w:p w:rsidR="00825DE3" w:rsidRPr="00825DE3" w:rsidRDefault="00825DE3" w:rsidP="00825DE3">
      <w:pPr>
        <w:autoSpaceDE w:val="0"/>
        <w:autoSpaceDN w:val="0"/>
        <w:rPr>
          <w:szCs w:val="24"/>
        </w:rPr>
      </w:pPr>
    </w:p>
    <w:p w:rsidR="00825DE3" w:rsidRDefault="00825DE3" w:rsidP="00825DE3">
      <w:pPr>
        <w:autoSpaceDE w:val="0"/>
        <w:autoSpaceDN w:val="0"/>
        <w:rPr>
          <w:szCs w:val="24"/>
        </w:rPr>
      </w:pPr>
      <w:r w:rsidRPr="00825DE3">
        <w:rPr>
          <w:szCs w:val="24"/>
        </w:rPr>
        <w:t>The accountable authority can impose conditions, give directions or give instructions to officials about proper use, and may, by written instrument,  issue instructions under section 20A that in and of themselves becomes part of “finance law’ (as defined in section 8).</w:t>
      </w:r>
    </w:p>
    <w:p w:rsidR="00825DE3" w:rsidRPr="00825DE3" w:rsidRDefault="00825DE3" w:rsidP="00825DE3">
      <w:pPr>
        <w:autoSpaceDE w:val="0"/>
        <w:autoSpaceDN w:val="0"/>
        <w:rPr>
          <w:szCs w:val="24"/>
        </w:rPr>
      </w:pPr>
    </w:p>
    <w:p w:rsidR="00D07274" w:rsidRDefault="00825DE3" w:rsidP="00825DE3">
      <w:pPr>
        <w:autoSpaceDE w:val="0"/>
        <w:autoSpaceDN w:val="0"/>
        <w:rPr>
          <w:szCs w:val="24"/>
        </w:rPr>
      </w:pPr>
      <w:r w:rsidRPr="00825DE3">
        <w:rPr>
          <w:szCs w:val="24"/>
        </w:rPr>
        <w:t xml:space="preserve">All officials must act in accordance with instructions pertaining to finance law, by virtue of their general duties under the PGPA Act—section 25 requires officials to act </w:t>
      </w:r>
      <w:r w:rsidRPr="00825DE3">
        <w:rPr>
          <w:szCs w:val="24"/>
        </w:rPr>
        <w:lastRenderedPageBreak/>
        <w:t>with care and diligence and section 26 requires that they act honestly, in good faith and for a proper purpose</w:t>
      </w:r>
      <w:r w:rsidR="004356CA">
        <w:rPr>
          <w:szCs w:val="24"/>
        </w:rPr>
        <w:t>.</w:t>
      </w:r>
    </w:p>
    <w:p w:rsidR="00D07274" w:rsidRDefault="00D07274" w:rsidP="00D07274">
      <w:pPr>
        <w:autoSpaceDE w:val="0"/>
        <w:autoSpaceDN w:val="0"/>
        <w:rPr>
          <w:szCs w:val="24"/>
        </w:rPr>
      </w:pPr>
    </w:p>
    <w:p w:rsidR="00D07274" w:rsidRPr="0019253D" w:rsidRDefault="00D07274" w:rsidP="006D5AA3">
      <w:pPr>
        <w:pStyle w:val="Heading2"/>
      </w:pPr>
      <w:r>
        <w:t>Recommendation 7</w:t>
      </w:r>
    </w:p>
    <w:p w:rsidR="00D07274" w:rsidRPr="0019253D" w:rsidRDefault="00D07274" w:rsidP="00D07274">
      <w:pPr>
        <w:rPr>
          <w:szCs w:val="24"/>
        </w:rPr>
      </w:pPr>
    </w:p>
    <w:p w:rsidR="00D07274" w:rsidRDefault="00825DE3" w:rsidP="00D07274">
      <w:pPr>
        <w:autoSpaceDE w:val="0"/>
        <w:autoSpaceDN w:val="0"/>
        <w:adjustRightInd w:val="0"/>
        <w:rPr>
          <w:szCs w:val="24"/>
        </w:rPr>
      </w:pPr>
      <w:r w:rsidRPr="00825DE3">
        <w:rPr>
          <w:szCs w:val="24"/>
        </w:rPr>
        <w:t xml:space="preserve">The Committee recommends that the issue of commitments of relevant money, and the appropriateness of spending limits and associated documentation requirements set by </w:t>
      </w:r>
      <w:proofErr w:type="gramStart"/>
      <w:r w:rsidRPr="00825DE3">
        <w:rPr>
          <w:szCs w:val="24"/>
        </w:rPr>
        <w:t>accountable</w:t>
      </w:r>
      <w:proofErr w:type="gramEnd"/>
      <w:r w:rsidRPr="00825DE3">
        <w:rPr>
          <w:szCs w:val="24"/>
        </w:rPr>
        <w:t xml:space="preserve"> authorities, be included by the Department of Finance in the first independent review of the </w:t>
      </w:r>
      <w:r w:rsidRPr="00825DE3">
        <w:rPr>
          <w:i/>
          <w:szCs w:val="24"/>
        </w:rPr>
        <w:t>Public Governance, Per</w:t>
      </w:r>
      <w:r>
        <w:rPr>
          <w:i/>
          <w:szCs w:val="24"/>
        </w:rPr>
        <w:t>formance and Accountability Act </w:t>
      </w:r>
      <w:r w:rsidRPr="00825DE3">
        <w:rPr>
          <w:i/>
          <w:szCs w:val="24"/>
        </w:rPr>
        <w:t>2013</w:t>
      </w:r>
      <w:r w:rsidRPr="00825DE3">
        <w:rPr>
          <w:szCs w:val="24"/>
        </w:rPr>
        <w:t>.</w:t>
      </w:r>
    </w:p>
    <w:p w:rsidR="00825DE3" w:rsidRPr="0019253D" w:rsidRDefault="00825DE3" w:rsidP="00D07274">
      <w:pPr>
        <w:autoSpaceDE w:val="0"/>
        <w:autoSpaceDN w:val="0"/>
        <w:adjustRightInd w:val="0"/>
        <w:rPr>
          <w:szCs w:val="24"/>
        </w:rPr>
      </w:pPr>
    </w:p>
    <w:p w:rsidR="00D07274" w:rsidRPr="00D07274" w:rsidRDefault="00D07274" w:rsidP="006D5AA3">
      <w:pPr>
        <w:pStyle w:val="Heading2"/>
      </w:pPr>
      <w:r w:rsidRPr="00D07274">
        <w:t>Response</w:t>
      </w:r>
    </w:p>
    <w:p w:rsidR="00D07274" w:rsidRPr="0019253D" w:rsidRDefault="00D07274" w:rsidP="00D07274">
      <w:pPr>
        <w:autoSpaceDE w:val="0"/>
        <w:autoSpaceDN w:val="0"/>
        <w:adjustRightInd w:val="0"/>
        <w:rPr>
          <w:color w:val="000000"/>
          <w:szCs w:val="24"/>
        </w:rPr>
      </w:pPr>
    </w:p>
    <w:p w:rsidR="00A12C03" w:rsidRDefault="00A12C03" w:rsidP="00A12C03">
      <w:pPr>
        <w:autoSpaceDE w:val="0"/>
        <w:autoSpaceDN w:val="0"/>
        <w:rPr>
          <w:bCs/>
        </w:rPr>
      </w:pPr>
      <w:r w:rsidRPr="006F30B5">
        <w:rPr>
          <w:bCs/>
        </w:rPr>
        <w:t>The Government agrees.</w:t>
      </w:r>
    </w:p>
    <w:p w:rsidR="00A12C03" w:rsidRPr="006F30B5" w:rsidRDefault="00A12C03" w:rsidP="00A12C03">
      <w:pPr>
        <w:autoSpaceDE w:val="0"/>
        <w:autoSpaceDN w:val="0"/>
        <w:rPr>
          <w:bCs/>
        </w:rPr>
      </w:pPr>
    </w:p>
    <w:p w:rsidR="00D07274" w:rsidRDefault="00825DE3" w:rsidP="00D07274">
      <w:pPr>
        <w:autoSpaceDE w:val="0"/>
        <w:autoSpaceDN w:val="0"/>
        <w:rPr>
          <w:szCs w:val="24"/>
        </w:rPr>
      </w:pPr>
      <w:r w:rsidRPr="00825DE3">
        <w:rPr>
          <w:szCs w:val="24"/>
        </w:rPr>
        <w:t xml:space="preserve">The PGPA Act requires the Finance Minister, in consultation with the JCPAA, to undertake an independent review of the operation of the Act and the Rules (section 112). </w:t>
      </w:r>
      <w:r>
        <w:rPr>
          <w:szCs w:val="24"/>
        </w:rPr>
        <w:t xml:space="preserve"> </w:t>
      </w:r>
      <w:r w:rsidRPr="00825DE3">
        <w:rPr>
          <w:szCs w:val="24"/>
        </w:rPr>
        <w:t>This issue will be considered as part of that review</w:t>
      </w:r>
      <w:r>
        <w:rPr>
          <w:szCs w:val="24"/>
        </w:rPr>
        <w:t>.</w:t>
      </w:r>
    </w:p>
    <w:p w:rsidR="00D07274" w:rsidRDefault="00D07274" w:rsidP="00D07274">
      <w:pPr>
        <w:autoSpaceDE w:val="0"/>
        <w:autoSpaceDN w:val="0"/>
        <w:rPr>
          <w:szCs w:val="24"/>
        </w:rPr>
      </w:pPr>
    </w:p>
    <w:p w:rsidR="00D07274" w:rsidRDefault="00D07274" w:rsidP="00D07274">
      <w:pPr>
        <w:autoSpaceDE w:val="0"/>
        <w:autoSpaceDN w:val="0"/>
        <w:rPr>
          <w:szCs w:val="24"/>
        </w:rPr>
      </w:pPr>
    </w:p>
    <w:p w:rsidR="00D07274" w:rsidRPr="0019253D" w:rsidRDefault="00D07274" w:rsidP="006D5AA3">
      <w:pPr>
        <w:pStyle w:val="Heading2"/>
      </w:pPr>
      <w:r>
        <w:t>Recommendation 8</w:t>
      </w:r>
    </w:p>
    <w:p w:rsidR="00D07274" w:rsidRPr="0019253D" w:rsidRDefault="00D07274" w:rsidP="00D07274">
      <w:pPr>
        <w:rPr>
          <w:szCs w:val="24"/>
        </w:rPr>
      </w:pPr>
    </w:p>
    <w:p w:rsidR="00D07274" w:rsidRDefault="00825DE3" w:rsidP="00D07274">
      <w:pPr>
        <w:autoSpaceDE w:val="0"/>
        <w:autoSpaceDN w:val="0"/>
        <w:adjustRightInd w:val="0"/>
        <w:rPr>
          <w:szCs w:val="24"/>
        </w:rPr>
      </w:pPr>
      <w:r w:rsidRPr="00825DE3">
        <w:rPr>
          <w:szCs w:val="24"/>
        </w:rPr>
        <w:t>The Committee recommends that the draft guidance material supporting s18 (Approving commitments of relevant money) of the Public Governance, Performance and Accountability Rule 2014 be amended to include discussion of the reasonable use of, and the risks involved in, officials approving aggregate expenditure proposals</w:t>
      </w:r>
      <w:r>
        <w:rPr>
          <w:szCs w:val="24"/>
        </w:rPr>
        <w:t>.</w:t>
      </w:r>
    </w:p>
    <w:p w:rsidR="00825DE3" w:rsidRPr="0019253D" w:rsidRDefault="00825DE3" w:rsidP="00D07274">
      <w:pPr>
        <w:autoSpaceDE w:val="0"/>
        <w:autoSpaceDN w:val="0"/>
        <w:adjustRightInd w:val="0"/>
        <w:rPr>
          <w:szCs w:val="24"/>
        </w:rPr>
      </w:pPr>
    </w:p>
    <w:p w:rsidR="00D07274" w:rsidRPr="00D07274" w:rsidRDefault="00D07274" w:rsidP="006D5AA3">
      <w:pPr>
        <w:pStyle w:val="Heading2"/>
      </w:pPr>
      <w:r w:rsidRPr="00D07274">
        <w:t>Response</w:t>
      </w:r>
    </w:p>
    <w:p w:rsidR="00D07274" w:rsidRPr="0019253D" w:rsidRDefault="00D07274" w:rsidP="00D07274">
      <w:pPr>
        <w:autoSpaceDE w:val="0"/>
        <w:autoSpaceDN w:val="0"/>
        <w:adjustRightInd w:val="0"/>
        <w:rPr>
          <w:color w:val="000000"/>
          <w:szCs w:val="24"/>
        </w:rPr>
      </w:pPr>
    </w:p>
    <w:p w:rsidR="00A12C03" w:rsidRDefault="00A12C03" w:rsidP="00A12C03">
      <w:pPr>
        <w:autoSpaceDE w:val="0"/>
        <w:autoSpaceDN w:val="0"/>
        <w:rPr>
          <w:bCs/>
        </w:rPr>
      </w:pPr>
      <w:r w:rsidRPr="006F30B5">
        <w:rPr>
          <w:bCs/>
        </w:rPr>
        <w:t>The Government agrees.</w:t>
      </w:r>
    </w:p>
    <w:p w:rsidR="00A12C03" w:rsidRPr="006F30B5" w:rsidRDefault="00A12C03" w:rsidP="00A12C03">
      <w:pPr>
        <w:autoSpaceDE w:val="0"/>
        <w:autoSpaceDN w:val="0"/>
        <w:rPr>
          <w:bCs/>
        </w:rPr>
      </w:pPr>
    </w:p>
    <w:p w:rsidR="00D07274" w:rsidRDefault="00825DE3" w:rsidP="00D07274">
      <w:pPr>
        <w:autoSpaceDE w:val="0"/>
        <w:autoSpaceDN w:val="0"/>
        <w:rPr>
          <w:szCs w:val="24"/>
        </w:rPr>
      </w:pPr>
      <w:r w:rsidRPr="00825DE3">
        <w:rPr>
          <w:szCs w:val="24"/>
        </w:rPr>
        <w:t>Finance has amended its resource management guidance RMG 400: Approving commitments of relevant money. The guidance now includes discussion of the reasonable use of, and the risks involved in, officials approving aggregate expenditure proposals (refer to part 3).</w:t>
      </w:r>
    </w:p>
    <w:p w:rsidR="00D07274" w:rsidRDefault="00D07274" w:rsidP="00D07274">
      <w:pPr>
        <w:autoSpaceDE w:val="0"/>
        <w:autoSpaceDN w:val="0"/>
        <w:rPr>
          <w:szCs w:val="24"/>
        </w:rPr>
      </w:pPr>
    </w:p>
    <w:p w:rsidR="00D07274" w:rsidRDefault="00D07274" w:rsidP="00D07274">
      <w:pPr>
        <w:autoSpaceDE w:val="0"/>
        <w:autoSpaceDN w:val="0"/>
        <w:rPr>
          <w:szCs w:val="24"/>
        </w:rPr>
      </w:pPr>
    </w:p>
    <w:p w:rsidR="00D07274" w:rsidRPr="0019253D" w:rsidRDefault="00D07274" w:rsidP="006D5AA3">
      <w:pPr>
        <w:pStyle w:val="Heading2"/>
      </w:pPr>
      <w:r>
        <w:t>Recommendation 9</w:t>
      </w:r>
    </w:p>
    <w:p w:rsidR="00D07274" w:rsidRPr="0019253D" w:rsidRDefault="00D07274" w:rsidP="00D07274">
      <w:pPr>
        <w:rPr>
          <w:szCs w:val="24"/>
        </w:rPr>
      </w:pPr>
    </w:p>
    <w:p w:rsidR="00D07274" w:rsidRDefault="00825DE3" w:rsidP="00D07274">
      <w:pPr>
        <w:autoSpaceDE w:val="0"/>
        <w:autoSpaceDN w:val="0"/>
        <w:adjustRightInd w:val="0"/>
        <w:rPr>
          <w:szCs w:val="24"/>
        </w:rPr>
      </w:pPr>
      <w:r w:rsidRPr="00825DE3">
        <w:rPr>
          <w:szCs w:val="24"/>
        </w:rPr>
        <w:t>The Committee recommends that the Department of Finance continue its consultation process with stakeholders on the Public Governance, Performance and Accountability Act 2013 rules development for the post July 2014 rules and the broader Public Management Reform Agenda, based on the comprehensive consultation approach taken to date</w:t>
      </w:r>
      <w:r>
        <w:rPr>
          <w:szCs w:val="24"/>
        </w:rPr>
        <w:t>.</w:t>
      </w:r>
    </w:p>
    <w:p w:rsidR="00825DE3" w:rsidRPr="0019253D" w:rsidRDefault="00825DE3" w:rsidP="00D07274">
      <w:pPr>
        <w:autoSpaceDE w:val="0"/>
        <w:autoSpaceDN w:val="0"/>
        <w:adjustRightInd w:val="0"/>
        <w:rPr>
          <w:szCs w:val="24"/>
        </w:rPr>
      </w:pPr>
    </w:p>
    <w:p w:rsidR="00C63139" w:rsidRDefault="00C63139">
      <w:pPr>
        <w:rPr>
          <w:b/>
          <w:szCs w:val="24"/>
        </w:rPr>
      </w:pPr>
      <w:r>
        <w:rPr>
          <w:b/>
          <w:szCs w:val="24"/>
        </w:rPr>
        <w:br w:type="page"/>
      </w:r>
    </w:p>
    <w:p w:rsidR="00D07274" w:rsidRPr="00D07274" w:rsidRDefault="00D07274" w:rsidP="006D5AA3">
      <w:pPr>
        <w:pStyle w:val="Heading2"/>
      </w:pPr>
      <w:r w:rsidRPr="00D07274">
        <w:lastRenderedPageBreak/>
        <w:t>Response</w:t>
      </w:r>
    </w:p>
    <w:p w:rsidR="00D07274" w:rsidRPr="0019253D" w:rsidRDefault="00D07274" w:rsidP="00D07274">
      <w:pPr>
        <w:autoSpaceDE w:val="0"/>
        <w:autoSpaceDN w:val="0"/>
        <w:adjustRightInd w:val="0"/>
        <w:rPr>
          <w:color w:val="000000"/>
          <w:szCs w:val="24"/>
        </w:rPr>
      </w:pPr>
    </w:p>
    <w:p w:rsidR="00A12C03" w:rsidRDefault="00A12C03" w:rsidP="00A12C03">
      <w:pPr>
        <w:autoSpaceDE w:val="0"/>
        <w:autoSpaceDN w:val="0"/>
        <w:rPr>
          <w:bCs/>
        </w:rPr>
      </w:pPr>
      <w:r w:rsidRPr="006F30B5">
        <w:rPr>
          <w:bCs/>
        </w:rPr>
        <w:t>The Government agrees.</w:t>
      </w:r>
    </w:p>
    <w:p w:rsidR="00A12C03" w:rsidRPr="006F30B5" w:rsidRDefault="00A12C03" w:rsidP="00A12C03">
      <w:pPr>
        <w:autoSpaceDE w:val="0"/>
        <w:autoSpaceDN w:val="0"/>
        <w:rPr>
          <w:bCs/>
        </w:rPr>
      </w:pPr>
    </w:p>
    <w:p w:rsidR="00D07274" w:rsidRDefault="00825DE3" w:rsidP="00D07274">
      <w:pPr>
        <w:autoSpaceDE w:val="0"/>
        <w:autoSpaceDN w:val="0"/>
        <w:rPr>
          <w:szCs w:val="24"/>
        </w:rPr>
      </w:pPr>
      <w:r w:rsidRPr="00825DE3">
        <w:rPr>
          <w:szCs w:val="24"/>
        </w:rPr>
        <w:t xml:space="preserve">Finance will continue its consultation process with stakeholders post July 2014. </w:t>
      </w:r>
      <w:r w:rsidR="004356CA">
        <w:rPr>
          <w:szCs w:val="24"/>
        </w:rPr>
        <w:t xml:space="preserve"> </w:t>
      </w:r>
      <w:r w:rsidRPr="00825DE3">
        <w:rPr>
          <w:szCs w:val="24"/>
        </w:rPr>
        <w:t>To give one example, since the JCPAA hearings in April 2014, the cross-agency Planning and Reporting steering committee met on 17 June 2014 to consider the Commonwealth Performance Framework project and the Rules for Financial Reporting project.</w:t>
      </w:r>
    </w:p>
    <w:p w:rsidR="00D07274" w:rsidRDefault="00D07274" w:rsidP="00D07274">
      <w:pPr>
        <w:autoSpaceDE w:val="0"/>
        <w:autoSpaceDN w:val="0"/>
        <w:rPr>
          <w:szCs w:val="24"/>
        </w:rPr>
      </w:pPr>
    </w:p>
    <w:p w:rsidR="00D07274" w:rsidRDefault="00D07274" w:rsidP="00D07274">
      <w:pPr>
        <w:autoSpaceDE w:val="0"/>
        <w:autoSpaceDN w:val="0"/>
        <w:rPr>
          <w:szCs w:val="24"/>
        </w:rPr>
      </w:pPr>
    </w:p>
    <w:p w:rsidR="00D07274" w:rsidRPr="0019253D" w:rsidRDefault="00D07274" w:rsidP="006D5AA3">
      <w:pPr>
        <w:pStyle w:val="Heading2"/>
      </w:pPr>
      <w:r>
        <w:t>Recommendation 10</w:t>
      </w:r>
    </w:p>
    <w:p w:rsidR="00D07274" w:rsidRPr="0019253D" w:rsidRDefault="00D07274" w:rsidP="00D07274">
      <w:pPr>
        <w:rPr>
          <w:szCs w:val="24"/>
        </w:rPr>
      </w:pPr>
    </w:p>
    <w:p w:rsidR="00D07274" w:rsidRDefault="00825DE3" w:rsidP="00D07274">
      <w:pPr>
        <w:autoSpaceDE w:val="0"/>
        <w:autoSpaceDN w:val="0"/>
        <w:adjustRightInd w:val="0"/>
        <w:rPr>
          <w:szCs w:val="24"/>
        </w:rPr>
      </w:pPr>
      <w:r w:rsidRPr="00825DE3">
        <w:rPr>
          <w:szCs w:val="24"/>
        </w:rPr>
        <w:t>The Committee recommends that the Department of Finance prepare and communicate a plan clearly outlining the anticipated dates for development and consultation of all future rules and guidance materials under the Public Governance, Performance and Accountability Act 2013, and the broader Public Management Reform Agenda</w:t>
      </w:r>
      <w:r>
        <w:rPr>
          <w:szCs w:val="24"/>
        </w:rPr>
        <w:t>.</w:t>
      </w:r>
    </w:p>
    <w:p w:rsidR="00825DE3" w:rsidRPr="0019253D" w:rsidRDefault="00825DE3" w:rsidP="00D07274">
      <w:pPr>
        <w:autoSpaceDE w:val="0"/>
        <w:autoSpaceDN w:val="0"/>
        <w:adjustRightInd w:val="0"/>
        <w:rPr>
          <w:szCs w:val="24"/>
        </w:rPr>
      </w:pPr>
    </w:p>
    <w:p w:rsidR="00D07274" w:rsidRPr="00D07274" w:rsidRDefault="00D07274" w:rsidP="006D5AA3">
      <w:pPr>
        <w:pStyle w:val="Heading2"/>
      </w:pPr>
      <w:r w:rsidRPr="00D07274">
        <w:t>Response</w:t>
      </w:r>
    </w:p>
    <w:p w:rsidR="00D07274" w:rsidRPr="0019253D" w:rsidRDefault="00D07274" w:rsidP="00D07274">
      <w:pPr>
        <w:autoSpaceDE w:val="0"/>
        <w:autoSpaceDN w:val="0"/>
        <w:adjustRightInd w:val="0"/>
        <w:rPr>
          <w:color w:val="000000"/>
          <w:szCs w:val="24"/>
        </w:rPr>
      </w:pPr>
    </w:p>
    <w:p w:rsidR="00A12C03" w:rsidRDefault="00A12C03" w:rsidP="00A12C03">
      <w:pPr>
        <w:autoSpaceDE w:val="0"/>
        <w:autoSpaceDN w:val="0"/>
        <w:rPr>
          <w:bCs/>
        </w:rPr>
      </w:pPr>
      <w:r w:rsidRPr="006F30B5">
        <w:rPr>
          <w:bCs/>
        </w:rPr>
        <w:t>The Government agrees.</w:t>
      </w:r>
    </w:p>
    <w:p w:rsidR="00A12C03" w:rsidRPr="006F30B5" w:rsidRDefault="00A12C03" w:rsidP="00A12C03">
      <w:pPr>
        <w:autoSpaceDE w:val="0"/>
        <w:autoSpaceDN w:val="0"/>
        <w:rPr>
          <w:bCs/>
        </w:rPr>
      </w:pPr>
    </w:p>
    <w:p w:rsidR="00825DE3" w:rsidRDefault="00825DE3" w:rsidP="00825DE3">
      <w:pPr>
        <w:autoSpaceDE w:val="0"/>
        <w:autoSpaceDN w:val="0"/>
        <w:rPr>
          <w:szCs w:val="24"/>
        </w:rPr>
      </w:pPr>
      <w:r w:rsidRPr="00825DE3">
        <w:rPr>
          <w:szCs w:val="24"/>
        </w:rPr>
        <w:t>Finance will communicate the plan relating to future elements of the Public Management Reform Agenda.</w:t>
      </w:r>
    </w:p>
    <w:p w:rsidR="00825DE3" w:rsidRPr="00825DE3" w:rsidRDefault="00825DE3" w:rsidP="00825DE3">
      <w:pPr>
        <w:autoSpaceDE w:val="0"/>
        <w:autoSpaceDN w:val="0"/>
        <w:rPr>
          <w:szCs w:val="24"/>
        </w:rPr>
      </w:pPr>
    </w:p>
    <w:p w:rsidR="00D07274" w:rsidRDefault="00825DE3" w:rsidP="00825DE3">
      <w:pPr>
        <w:autoSpaceDE w:val="0"/>
        <w:autoSpaceDN w:val="0"/>
        <w:rPr>
          <w:szCs w:val="24"/>
        </w:rPr>
      </w:pPr>
      <w:r w:rsidRPr="00825DE3">
        <w:rPr>
          <w:szCs w:val="24"/>
        </w:rPr>
        <w:t>For example, a plan on the development of the Commonwealth Performance Framework was circulated on 19 June 2014—it is available through the PMRA website</w:t>
      </w:r>
      <w:r w:rsidR="004356CA">
        <w:rPr>
          <w:szCs w:val="24"/>
        </w:rPr>
        <w:t>.</w:t>
      </w:r>
    </w:p>
    <w:p w:rsidR="00D07274" w:rsidRPr="002F2C45" w:rsidRDefault="00D07274" w:rsidP="0019253D">
      <w:pPr>
        <w:autoSpaceDE w:val="0"/>
        <w:autoSpaceDN w:val="0"/>
        <w:rPr>
          <w:szCs w:val="24"/>
        </w:rPr>
      </w:pPr>
    </w:p>
    <w:sectPr w:rsidR="00D07274" w:rsidRPr="002F2C45" w:rsidSect="00B30087">
      <w:footerReference w:type="default" r:id="rId8"/>
      <w:pgSz w:w="11906" w:h="16838" w:code="9"/>
      <w:pgMar w:top="1440" w:right="1701" w:bottom="1440"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AA7" w:rsidRDefault="008E7AA7">
      <w:r>
        <w:separator/>
      </w:r>
    </w:p>
  </w:endnote>
  <w:endnote w:type="continuationSeparator" w:id="0">
    <w:p w:rsidR="008E7AA7" w:rsidRDefault="008E7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BC" w:rsidRDefault="001125D3" w:rsidP="00B358A1">
    <w:pPr>
      <w:pStyle w:val="Footer"/>
      <w:framePr w:wrap="around" w:vAnchor="text" w:hAnchor="margin" w:xAlign="right" w:y="1"/>
      <w:rPr>
        <w:rStyle w:val="PageNumber"/>
      </w:rPr>
    </w:pPr>
    <w:r>
      <w:rPr>
        <w:rStyle w:val="PageNumber"/>
      </w:rPr>
      <w:fldChar w:fldCharType="begin"/>
    </w:r>
    <w:r w:rsidR="00934EBC">
      <w:rPr>
        <w:rStyle w:val="PageNumber"/>
      </w:rPr>
      <w:instrText xml:space="preserve">PAGE  </w:instrText>
    </w:r>
    <w:r>
      <w:rPr>
        <w:rStyle w:val="PageNumber"/>
      </w:rPr>
      <w:fldChar w:fldCharType="separate"/>
    </w:r>
    <w:r w:rsidR="006D5AA3">
      <w:rPr>
        <w:rStyle w:val="PageNumber"/>
        <w:noProof/>
      </w:rPr>
      <w:t>2</w:t>
    </w:r>
    <w:r>
      <w:rPr>
        <w:rStyle w:val="PageNumber"/>
      </w:rPr>
      <w:fldChar w:fldCharType="end"/>
    </w:r>
  </w:p>
  <w:p w:rsidR="00934EBC" w:rsidRDefault="00934EBC" w:rsidP="00B300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AA7" w:rsidRDefault="008E7AA7">
      <w:r>
        <w:separator/>
      </w:r>
    </w:p>
  </w:footnote>
  <w:footnote w:type="continuationSeparator" w:id="0">
    <w:p w:rsidR="008E7AA7" w:rsidRDefault="008E7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A0A"/>
    <w:multiLevelType w:val="hybridMultilevel"/>
    <w:tmpl w:val="C7F6B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1118006F"/>
    <w:multiLevelType w:val="hybridMultilevel"/>
    <w:tmpl w:val="159EAF70"/>
    <w:lvl w:ilvl="0" w:tplc="0C09000F">
      <w:start w:val="1"/>
      <w:numFmt w:val="decimal"/>
      <w:lvlText w:val="%1."/>
      <w:lvlJc w:val="left"/>
      <w:pPr>
        <w:tabs>
          <w:tab w:val="num" w:pos="720"/>
        </w:tabs>
        <w:ind w:left="720" w:hanging="360"/>
      </w:pPr>
      <w:rPr>
        <w:rFonts w:hint="default"/>
      </w:rPr>
    </w:lvl>
    <w:lvl w:ilvl="1" w:tplc="2EE0B424">
      <w:start w:val="1"/>
      <w:numFmt w:val="bullet"/>
      <w:lvlText w:val="o"/>
      <w:lvlJc w:val="left"/>
      <w:pPr>
        <w:tabs>
          <w:tab w:val="num" w:pos="1440"/>
        </w:tabs>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24E617C"/>
    <w:multiLevelType w:val="multilevel"/>
    <w:tmpl w:val="570E4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80739"/>
    <w:multiLevelType w:val="multilevel"/>
    <w:tmpl w:val="9BEAF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A6BDD"/>
    <w:multiLevelType w:val="multilevel"/>
    <w:tmpl w:val="996C5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27192"/>
    <w:multiLevelType w:val="multilevel"/>
    <w:tmpl w:val="8FFA1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764ED"/>
    <w:multiLevelType w:val="hybridMultilevel"/>
    <w:tmpl w:val="586ED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95225FA"/>
    <w:multiLevelType w:val="multilevel"/>
    <w:tmpl w:val="4F947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E09AA"/>
    <w:multiLevelType w:val="multilevel"/>
    <w:tmpl w:val="FFC6D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C75D3B"/>
    <w:multiLevelType w:val="hybridMultilevel"/>
    <w:tmpl w:val="C6203B44"/>
    <w:lvl w:ilvl="0" w:tplc="3EBAE7CC">
      <w:start w:val="1"/>
      <w:numFmt w:val="bullet"/>
      <w:lvlText w:val=""/>
      <w:lvlJc w:val="left"/>
      <w:pPr>
        <w:tabs>
          <w:tab w:val="num" w:pos="709"/>
        </w:tabs>
        <w:ind w:left="709" w:hanging="709"/>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5"/>
  </w:num>
  <w:num w:numId="6">
    <w:abstractNumId w:val="3"/>
  </w:num>
  <w:num w:numId="7">
    <w:abstractNumId w:val="7"/>
  </w:num>
  <w:num w:numId="8">
    <w:abstractNumId w:val="1"/>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defaultTabStop w:val="720"/>
  <w:characterSpacingControl w:val="doNotCompress"/>
  <w:footnotePr>
    <w:footnote w:id="-1"/>
    <w:footnote w:id="0"/>
  </w:footnotePr>
  <w:endnotePr>
    <w:endnote w:id="-1"/>
    <w:endnote w:id="0"/>
  </w:endnotePr>
  <w:compat/>
  <w:rsids>
    <w:rsidRoot w:val="00361F45"/>
    <w:rsid w:val="00010AFD"/>
    <w:rsid w:val="00020F12"/>
    <w:rsid w:val="00024CB4"/>
    <w:rsid w:val="00027280"/>
    <w:rsid w:val="00031B38"/>
    <w:rsid w:val="000411AC"/>
    <w:rsid w:val="000513C0"/>
    <w:rsid w:val="0005191B"/>
    <w:rsid w:val="00063D60"/>
    <w:rsid w:val="00070251"/>
    <w:rsid w:val="0007140D"/>
    <w:rsid w:val="00076018"/>
    <w:rsid w:val="00095F49"/>
    <w:rsid w:val="000A7519"/>
    <w:rsid w:val="000B15FE"/>
    <w:rsid w:val="000B7076"/>
    <w:rsid w:val="000D3E1A"/>
    <w:rsid w:val="000D41F8"/>
    <w:rsid w:val="000D5618"/>
    <w:rsid w:val="000E19CE"/>
    <w:rsid w:val="000E3619"/>
    <w:rsid w:val="000F1645"/>
    <w:rsid w:val="000F6432"/>
    <w:rsid w:val="00102CDA"/>
    <w:rsid w:val="00106297"/>
    <w:rsid w:val="00110479"/>
    <w:rsid w:val="001125D3"/>
    <w:rsid w:val="00112B5E"/>
    <w:rsid w:val="00116232"/>
    <w:rsid w:val="001233C9"/>
    <w:rsid w:val="001244E0"/>
    <w:rsid w:val="00125A3D"/>
    <w:rsid w:val="00134E33"/>
    <w:rsid w:val="0014447D"/>
    <w:rsid w:val="00161617"/>
    <w:rsid w:val="00164236"/>
    <w:rsid w:val="00170118"/>
    <w:rsid w:val="001769C5"/>
    <w:rsid w:val="001812BC"/>
    <w:rsid w:val="0018345F"/>
    <w:rsid w:val="00183963"/>
    <w:rsid w:val="0019253D"/>
    <w:rsid w:val="00192C90"/>
    <w:rsid w:val="001940A3"/>
    <w:rsid w:val="001951EA"/>
    <w:rsid w:val="001A40A4"/>
    <w:rsid w:val="001B50BB"/>
    <w:rsid w:val="001C6854"/>
    <w:rsid w:val="001D05FD"/>
    <w:rsid w:val="001D469A"/>
    <w:rsid w:val="001D770C"/>
    <w:rsid w:val="001E79BE"/>
    <w:rsid w:val="001F4920"/>
    <w:rsid w:val="002016D5"/>
    <w:rsid w:val="00204E75"/>
    <w:rsid w:val="00206788"/>
    <w:rsid w:val="00211F19"/>
    <w:rsid w:val="00212CC8"/>
    <w:rsid w:val="00215925"/>
    <w:rsid w:val="00231A8B"/>
    <w:rsid w:val="00233EDF"/>
    <w:rsid w:val="00237CF3"/>
    <w:rsid w:val="002419C1"/>
    <w:rsid w:val="0024535E"/>
    <w:rsid w:val="0026624A"/>
    <w:rsid w:val="00267900"/>
    <w:rsid w:val="00277A24"/>
    <w:rsid w:val="00287B4B"/>
    <w:rsid w:val="002A20AE"/>
    <w:rsid w:val="002B1842"/>
    <w:rsid w:val="002B58CB"/>
    <w:rsid w:val="002C116C"/>
    <w:rsid w:val="002C7158"/>
    <w:rsid w:val="002F0E8E"/>
    <w:rsid w:val="002F2C45"/>
    <w:rsid w:val="002F4638"/>
    <w:rsid w:val="00321587"/>
    <w:rsid w:val="003324AF"/>
    <w:rsid w:val="00332C98"/>
    <w:rsid w:val="00333F58"/>
    <w:rsid w:val="00345ADC"/>
    <w:rsid w:val="00360ED4"/>
    <w:rsid w:val="003614D8"/>
    <w:rsid w:val="00361F45"/>
    <w:rsid w:val="0036539C"/>
    <w:rsid w:val="00365646"/>
    <w:rsid w:val="00367F08"/>
    <w:rsid w:val="00371430"/>
    <w:rsid w:val="0037594D"/>
    <w:rsid w:val="003842F1"/>
    <w:rsid w:val="003922B1"/>
    <w:rsid w:val="0039258B"/>
    <w:rsid w:val="00394DC0"/>
    <w:rsid w:val="003C2547"/>
    <w:rsid w:val="003E6F99"/>
    <w:rsid w:val="003F0A54"/>
    <w:rsid w:val="00404F9C"/>
    <w:rsid w:val="00410BE4"/>
    <w:rsid w:val="00412640"/>
    <w:rsid w:val="00415E76"/>
    <w:rsid w:val="00416E8A"/>
    <w:rsid w:val="00425E13"/>
    <w:rsid w:val="004334DD"/>
    <w:rsid w:val="004356CA"/>
    <w:rsid w:val="00441237"/>
    <w:rsid w:val="004447BF"/>
    <w:rsid w:val="00453957"/>
    <w:rsid w:val="00460457"/>
    <w:rsid w:val="00467D07"/>
    <w:rsid w:val="00483850"/>
    <w:rsid w:val="004952CA"/>
    <w:rsid w:val="004972ED"/>
    <w:rsid w:val="004A3DA4"/>
    <w:rsid w:val="004A6F09"/>
    <w:rsid w:val="004B3021"/>
    <w:rsid w:val="004B3D4D"/>
    <w:rsid w:val="004C293E"/>
    <w:rsid w:val="004C2C6D"/>
    <w:rsid w:val="004D3F75"/>
    <w:rsid w:val="004D7B09"/>
    <w:rsid w:val="004E1346"/>
    <w:rsid w:val="004E1D28"/>
    <w:rsid w:val="004E3FDB"/>
    <w:rsid w:val="004F65DA"/>
    <w:rsid w:val="00502D61"/>
    <w:rsid w:val="005104ED"/>
    <w:rsid w:val="0052384F"/>
    <w:rsid w:val="00527BB9"/>
    <w:rsid w:val="0053387D"/>
    <w:rsid w:val="00544518"/>
    <w:rsid w:val="00553032"/>
    <w:rsid w:val="00554210"/>
    <w:rsid w:val="00561FC2"/>
    <w:rsid w:val="00564418"/>
    <w:rsid w:val="00564DF8"/>
    <w:rsid w:val="0056699D"/>
    <w:rsid w:val="00580556"/>
    <w:rsid w:val="00586ACB"/>
    <w:rsid w:val="00587025"/>
    <w:rsid w:val="005977FF"/>
    <w:rsid w:val="005A23BF"/>
    <w:rsid w:val="005A7753"/>
    <w:rsid w:val="005B253B"/>
    <w:rsid w:val="005B3CED"/>
    <w:rsid w:val="005B6FAF"/>
    <w:rsid w:val="005C4E33"/>
    <w:rsid w:val="005C699D"/>
    <w:rsid w:val="005D611E"/>
    <w:rsid w:val="005F5071"/>
    <w:rsid w:val="00603CBC"/>
    <w:rsid w:val="00604404"/>
    <w:rsid w:val="006061AF"/>
    <w:rsid w:val="00612DDC"/>
    <w:rsid w:val="0061714A"/>
    <w:rsid w:val="006411C0"/>
    <w:rsid w:val="00647BCB"/>
    <w:rsid w:val="00652A84"/>
    <w:rsid w:val="0065374A"/>
    <w:rsid w:val="00654E58"/>
    <w:rsid w:val="00656964"/>
    <w:rsid w:val="0066231C"/>
    <w:rsid w:val="00666012"/>
    <w:rsid w:val="0066709C"/>
    <w:rsid w:val="00671D53"/>
    <w:rsid w:val="00682096"/>
    <w:rsid w:val="00693FE7"/>
    <w:rsid w:val="006B1A80"/>
    <w:rsid w:val="006B3314"/>
    <w:rsid w:val="006B4CA5"/>
    <w:rsid w:val="006D503F"/>
    <w:rsid w:val="006D53B7"/>
    <w:rsid w:val="006D5AA3"/>
    <w:rsid w:val="006D71D6"/>
    <w:rsid w:val="006E60DF"/>
    <w:rsid w:val="006E6930"/>
    <w:rsid w:val="006E78C0"/>
    <w:rsid w:val="006F30B5"/>
    <w:rsid w:val="00701DB5"/>
    <w:rsid w:val="00703E57"/>
    <w:rsid w:val="0070678E"/>
    <w:rsid w:val="00706C7F"/>
    <w:rsid w:val="00714E91"/>
    <w:rsid w:val="00717B64"/>
    <w:rsid w:val="007228D7"/>
    <w:rsid w:val="00726D4F"/>
    <w:rsid w:val="00731918"/>
    <w:rsid w:val="00734BC0"/>
    <w:rsid w:val="00737D7A"/>
    <w:rsid w:val="00741918"/>
    <w:rsid w:val="00744B3A"/>
    <w:rsid w:val="00753292"/>
    <w:rsid w:val="007573E1"/>
    <w:rsid w:val="0075772B"/>
    <w:rsid w:val="0076794D"/>
    <w:rsid w:val="007679DF"/>
    <w:rsid w:val="00767F69"/>
    <w:rsid w:val="00776AC5"/>
    <w:rsid w:val="00781070"/>
    <w:rsid w:val="0079671D"/>
    <w:rsid w:val="00796E2C"/>
    <w:rsid w:val="007A0EEE"/>
    <w:rsid w:val="007A3D67"/>
    <w:rsid w:val="007B6B0C"/>
    <w:rsid w:val="007C7907"/>
    <w:rsid w:val="007E197D"/>
    <w:rsid w:val="007F13AF"/>
    <w:rsid w:val="007F2E5A"/>
    <w:rsid w:val="00817D21"/>
    <w:rsid w:val="00822560"/>
    <w:rsid w:val="00823050"/>
    <w:rsid w:val="00823E3C"/>
    <w:rsid w:val="00825DE3"/>
    <w:rsid w:val="008421E3"/>
    <w:rsid w:val="0084438A"/>
    <w:rsid w:val="00844804"/>
    <w:rsid w:val="00847094"/>
    <w:rsid w:val="008479EB"/>
    <w:rsid w:val="00856779"/>
    <w:rsid w:val="00867AC0"/>
    <w:rsid w:val="00877EB0"/>
    <w:rsid w:val="00881E9D"/>
    <w:rsid w:val="00886D06"/>
    <w:rsid w:val="008902BA"/>
    <w:rsid w:val="00894054"/>
    <w:rsid w:val="00895752"/>
    <w:rsid w:val="008B5377"/>
    <w:rsid w:val="008B748B"/>
    <w:rsid w:val="008B7D9F"/>
    <w:rsid w:val="008C4287"/>
    <w:rsid w:val="008E062D"/>
    <w:rsid w:val="008E2CF5"/>
    <w:rsid w:val="008E7AA7"/>
    <w:rsid w:val="008F1171"/>
    <w:rsid w:val="008F251C"/>
    <w:rsid w:val="008F31E6"/>
    <w:rsid w:val="00906ABD"/>
    <w:rsid w:val="00910FEB"/>
    <w:rsid w:val="009158AB"/>
    <w:rsid w:val="00924244"/>
    <w:rsid w:val="0092498B"/>
    <w:rsid w:val="00930459"/>
    <w:rsid w:val="00933032"/>
    <w:rsid w:val="009332E9"/>
    <w:rsid w:val="00934EBC"/>
    <w:rsid w:val="009361C4"/>
    <w:rsid w:val="009376E2"/>
    <w:rsid w:val="009422BA"/>
    <w:rsid w:val="0094298C"/>
    <w:rsid w:val="00947554"/>
    <w:rsid w:val="0096094E"/>
    <w:rsid w:val="009635F3"/>
    <w:rsid w:val="009826BF"/>
    <w:rsid w:val="0099036D"/>
    <w:rsid w:val="00995896"/>
    <w:rsid w:val="00996021"/>
    <w:rsid w:val="009A5CE9"/>
    <w:rsid w:val="009A6EA3"/>
    <w:rsid w:val="009D0F0E"/>
    <w:rsid w:val="00A002E5"/>
    <w:rsid w:val="00A01C9F"/>
    <w:rsid w:val="00A100DE"/>
    <w:rsid w:val="00A12C03"/>
    <w:rsid w:val="00A15C2F"/>
    <w:rsid w:val="00A17AFD"/>
    <w:rsid w:val="00A2030D"/>
    <w:rsid w:val="00A20582"/>
    <w:rsid w:val="00A2151F"/>
    <w:rsid w:val="00A2656A"/>
    <w:rsid w:val="00A26AFB"/>
    <w:rsid w:val="00A312DD"/>
    <w:rsid w:val="00A3741E"/>
    <w:rsid w:val="00A53A1A"/>
    <w:rsid w:val="00A62CA9"/>
    <w:rsid w:val="00A64394"/>
    <w:rsid w:val="00A646E7"/>
    <w:rsid w:val="00A7565E"/>
    <w:rsid w:val="00A76A49"/>
    <w:rsid w:val="00A77AAB"/>
    <w:rsid w:val="00A80429"/>
    <w:rsid w:val="00A80F3B"/>
    <w:rsid w:val="00A87FFC"/>
    <w:rsid w:val="00A9399D"/>
    <w:rsid w:val="00A93DC8"/>
    <w:rsid w:val="00A968E4"/>
    <w:rsid w:val="00AA005D"/>
    <w:rsid w:val="00AC36ED"/>
    <w:rsid w:val="00AC7C9E"/>
    <w:rsid w:val="00AD4DB3"/>
    <w:rsid w:val="00AD528D"/>
    <w:rsid w:val="00AE5C9D"/>
    <w:rsid w:val="00AF43FA"/>
    <w:rsid w:val="00B02C0F"/>
    <w:rsid w:val="00B05981"/>
    <w:rsid w:val="00B30087"/>
    <w:rsid w:val="00B30B5B"/>
    <w:rsid w:val="00B34035"/>
    <w:rsid w:val="00B358A1"/>
    <w:rsid w:val="00B45CD9"/>
    <w:rsid w:val="00B55137"/>
    <w:rsid w:val="00B56E95"/>
    <w:rsid w:val="00B612FA"/>
    <w:rsid w:val="00B86259"/>
    <w:rsid w:val="00B90250"/>
    <w:rsid w:val="00B93AE5"/>
    <w:rsid w:val="00BB395A"/>
    <w:rsid w:val="00BB4433"/>
    <w:rsid w:val="00BB569D"/>
    <w:rsid w:val="00BB77E7"/>
    <w:rsid w:val="00BC49F3"/>
    <w:rsid w:val="00BC797A"/>
    <w:rsid w:val="00BD4A8C"/>
    <w:rsid w:val="00BD5E9F"/>
    <w:rsid w:val="00BD6E06"/>
    <w:rsid w:val="00BE7CF6"/>
    <w:rsid w:val="00BF12DA"/>
    <w:rsid w:val="00BF5EDF"/>
    <w:rsid w:val="00C0465D"/>
    <w:rsid w:val="00C05571"/>
    <w:rsid w:val="00C06733"/>
    <w:rsid w:val="00C100DA"/>
    <w:rsid w:val="00C17E66"/>
    <w:rsid w:val="00C20BC4"/>
    <w:rsid w:val="00C33A9E"/>
    <w:rsid w:val="00C469BE"/>
    <w:rsid w:val="00C47E62"/>
    <w:rsid w:val="00C50DBE"/>
    <w:rsid w:val="00C51C0F"/>
    <w:rsid w:val="00C54122"/>
    <w:rsid w:val="00C559E2"/>
    <w:rsid w:val="00C55DEF"/>
    <w:rsid w:val="00C563BF"/>
    <w:rsid w:val="00C574B9"/>
    <w:rsid w:val="00C63139"/>
    <w:rsid w:val="00C83934"/>
    <w:rsid w:val="00C868FB"/>
    <w:rsid w:val="00C90C0D"/>
    <w:rsid w:val="00C93A59"/>
    <w:rsid w:val="00C97B1C"/>
    <w:rsid w:val="00CA5F39"/>
    <w:rsid w:val="00CB06FB"/>
    <w:rsid w:val="00CB6CFC"/>
    <w:rsid w:val="00CC214E"/>
    <w:rsid w:val="00CC738E"/>
    <w:rsid w:val="00CD5D14"/>
    <w:rsid w:val="00CE37DE"/>
    <w:rsid w:val="00CF0400"/>
    <w:rsid w:val="00CF3F38"/>
    <w:rsid w:val="00D032B3"/>
    <w:rsid w:val="00D047EF"/>
    <w:rsid w:val="00D07274"/>
    <w:rsid w:val="00D10971"/>
    <w:rsid w:val="00D36509"/>
    <w:rsid w:val="00D416E9"/>
    <w:rsid w:val="00D53AE2"/>
    <w:rsid w:val="00D56E32"/>
    <w:rsid w:val="00D5708B"/>
    <w:rsid w:val="00D70CA2"/>
    <w:rsid w:val="00D77E58"/>
    <w:rsid w:val="00D82D85"/>
    <w:rsid w:val="00D940DE"/>
    <w:rsid w:val="00D94147"/>
    <w:rsid w:val="00D959D2"/>
    <w:rsid w:val="00DA5480"/>
    <w:rsid w:val="00DB036E"/>
    <w:rsid w:val="00DC31E1"/>
    <w:rsid w:val="00DD3424"/>
    <w:rsid w:val="00DD76CF"/>
    <w:rsid w:val="00DF2956"/>
    <w:rsid w:val="00E00491"/>
    <w:rsid w:val="00E05DF2"/>
    <w:rsid w:val="00E10DC5"/>
    <w:rsid w:val="00E13F1C"/>
    <w:rsid w:val="00E15DA3"/>
    <w:rsid w:val="00E16EC3"/>
    <w:rsid w:val="00E4312A"/>
    <w:rsid w:val="00E6069C"/>
    <w:rsid w:val="00E65F41"/>
    <w:rsid w:val="00E77885"/>
    <w:rsid w:val="00E85C1D"/>
    <w:rsid w:val="00E95576"/>
    <w:rsid w:val="00EA254B"/>
    <w:rsid w:val="00EB0877"/>
    <w:rsid w:val="00EC0BA6"/>
    <w:rsid w:val="00EC246A"/>
    <w:rsid w:val="00EC59E3"/>
    <w:rsid w:val="00ED2755"/>
    <w:rsid w:val="00ED3B33"/>
    <w:rsid w:val="00ED5102"/>
    <w:rsid w:val="00EE2798"/>
    <w:rsid w:val="00EE57FA"/>
    <w:rsid w:val="00EE6F37"/>
    <w:rsid w:val="00F11DB6"/>
    <w:rsid w:val="00F239AD"/>
    <w:rsid w:val="00F23D5E"/>
    <w:rsid w:val="00F32E54"/>
    <w:rsid w:val="00F402D4"/>
    <w:rsid w:val="00F45081"/>
    <w:rsid w:val="00F468EE"/>
    <w:rsid w:val="00F470B0"/>
    <w:rsid w:val="00F51A57"/>
    <w:rsid w:val="00F62355"/>
    <w:rsid w:val="00F63B4C"/>
    <w:rsid w:val="00F66E59"/>
    <w:rsid w:val="00F75D31"/>
    <w:rsid w:val="00F81E4B"/>
    <w:rsid w:val="00FB160C"/>
    <w:rsid w:val="00FB2D00"/>
    <w:rsid w:val="00FC5D0D"/>
    <w:rsid w:val="00FC6E4A"/>
    <w:rsid w:val="00FD7D05"/>
    <w:rsid w:val="00FE43EA"/>
    <w:rsid w:val="00FE4CA9"/>
    <w:rsid w:val="00FE7435"/>
    <w:rsid w:val="00FF4629"/>
    <w:rsid w:val="00FF64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F45"/>
    <w:rPr>
      <w:sz w:val="24"/>
      <w:lang w:eastAsia="en-US"/>
    </w:rPr>
  </w:style>
  <w:style w:type="paragraph" w:styleId="Heading1">
    <w:name w:val="heading 1"/>
    <w:basedOn w:val="Normal"/>
    <w:next w:val="Normal"/>
    <w:qFormat/>
    <w:rsid w:val="006D5AA3"/>
    <w:pPr>
      <w:ind w:right="-97"/>
      <w:jc w:val="center"/>
      <w:outlineLvl w:val="0"/>
    </w:pPr>
    <w:rPr>
      <w:sz w:val="36"/>
      <w:szCs w:val="36"/>
    </w:rPr>
  </w:style>
  <w:style w:type="paragraph" w:styleId="Heading2">
    <w:name w:val="heading 2"/>
    <w:basedOn w:val="Normal"/>
    <w:next w:val="Normal"/>
    <w:qFormat/>
    <w:rsid w:val="006D5AA3"/>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1F45"/>
    <w:pPr>
      <w:jc w:val="center"/>
    </w:pPr>
    <w:rPr>
      <w:b/>
      <w:i/>
      <w:iCs/>
      <w:sz w:val="28"/>
    </w:rPr>
  </w:style>
  <w:style w:type="paragraph" w:styleId="Footer">
    <w:name w:val="footer"/>
    <w:basedOn w:val="Normal"/>
    <w:rsid w:val="00B30087"/>
    <w:pPr>
      <w:tabs>
        <w:tab w:val="center" w:pos="4153"/>
        <w:tab w:val="right" w:pos="8306"/>
      </w:tabs>
    </w:pPr>
  </w:style>
  <w:style w:type="character" w:styleId="PageNumber">
    <w:name w:val="page number"/>
    <w:basedOn w:val="DefaultParagraphFont"/>
    <w:rsid w:val="00B30087"/>
  </w:style>
  <w:style w:type="paragraph" w:styleId="Header">
    <w:name w:val="header"/>
    <w:basedOn w:val="Normal"/>
    <w:link w:val="HeaderChar"/>
    <w:uiPriority w:val="99"/>
    <w:rsid w:val="00B30087"/>
    <w:pPr>
      <w:tabs>
        <w:tab w:val="center" w:pos="4153"/>
        <w:tab w:val="right" w:pos="8306"/>
      </w:tabs>
    </w:pPr>
  </w:style>
  <w:style w:type="paragraph" w:styleId="BalloonText">
    <w:name w:val="Balloon Text"/>
    <w:basedOn w:val="Normal"/>
    <w:semiHidden/>
    <w:rsid w:val="00C0465D"/>
    <w:rPr>
      <w:rFonts w:ascii="Tahoma" w:hAnsi="Tahoma" w:cs="Tahoma"/>
      <w:sz w:val="16"/>
      <w:szCs w:val="16"/>
    </w:rPr>
  </w:style>
  <w:style w:type="paragraph" w:customStyle="1" w:styleId="Style1">
    <w:name w:val="Style1"/>
    <w:basedOn w:val="Normal"/>
    <w:rsid w:val="00A968E4"/>
    <w:rPr>
      <w:rFonts w:ascii="Arial" w:hAnsi="Arial"/>
      <w:szCs w:val="24"/>
    </w:rPr>
  </w:style>
  <w:style w:type="character" w:styleId="CommentReference">
    <w:name w:val="annotation reference"/>
    <w:basedOn w:val="DefaultParagraphFont"/>
    <w:semiHidden/>
    <w:rsid w:val="00817D21"/>
    <w:rPr>
      <w:sz w:val="16"/>
      <w:szCs w:val="16"/>
    </w:rPr>
  </w:style>
  <w:style w:type="paragraph" w:styleId="CommentText">
    <w:name w:val="annotation text"/>
    <w:basedOn w:val="Normal"/>
    <w:semiHidden/>
    <w:rsid w:val="00817D21"/>
    <w:rPr>
      <w:sz w:val="20"/>
    </w:rPr>
  </w:style>
  <w:style w:type="paragraph" w:styleId="CommentSubject">
    <w:name w:val="annotation subject"/>
    <w:basedOn w:val="CommentText"/>
    <w:next w:val="CommentText"/>
    <w:semiHidden/>
    <w:rsid w:val="00817D21"/>
    <w:rPr>
      <w:b/>
      <w:bCs/>
    </w:rPr>
  </w:style>
  <w:style w:type="paragraph" w:styleId="NormalWeb">
    <w:name w:val="Normal (Web)"/>
    <w:basedOn w:val="Normal"/>
    <w:rsid w:val="002C116C"/>
    <w:pPr>
      <w:spacing w:before="100" w:beforeAutospacing="1" w:after="100" w:afterAutospacing="1"/>
    </w:pPr>
    <w:rPr>
      <w:rFonts w:ascii="Verdana" w:hAnsi="Verdana"/>
      <w:szCs w:val="24"/>
      <w:lang w:eastAsia="en-AU"/>
    </w:rPr>
  </w:style>
  <w:style w:type="character" w:styleId="Emphasis">
    <w:name w:val="Emphasis"/>
    <w:basedOn w:val="DefaultParagraphFont"/>
    <w:qFormat/>
    <w:rsid w:val="00671D53"/>
    <w:rPr>
      <w:i/>
      <w:iCs/>
    </w:rPr>
  </w:style>
  <w:style w:type="character" w:customStyle="1" w:styleId="HeaderChar">
    <w:name w:val="Header Char"/>
    <w:basedOn w:val="DefaultParagraphFont"/>
    <w:link w:val="Header"/>
    <w:uiPriority w:val="99"/>
    <w:rsid w:val="0019253D"/>
    <w:rPr>
      <w:sz w:val="24"/>
      <w:lang w:eastAsia="en-US"/>
    </w:rPr>
  </w:style>
  <w:style w:type="paragraph" w:styleId="ListParagraph">
    <w:name w:val="List Paragraph"/>
    <w:basedOn w:val="Normal"/>
    <w:uiPriority w:val="34"/>
    <w:qFormat/>
    <w:rsid w:val="00287B4B"/>
    <w:pPr>
      <w:ind w:left="720"/>
    </w:pPr>
    <w:rPr>
      <w:rFonts w:ascii="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1127550316">
      <w:bodyDiv w:val="1"/>
      <w:marLeft w:val="0"/>
      <w:marRight w:val="0"/>
      <w:marTop w:val="0"/>
      <w:marBottom w:val="0"/>
      <w:divBdr>
        <w:top w:val="none" w:sz="0" w:space="0" w:color="auto"/>
        <w:left w:val="none" w:sz="0" w:space="0" w:color="auto"/>
        <w:bottom w:val="none" w:sz="0" w:space="0" w:color="auto"/>
        <w:right w:val="none" w:sz="0" w:space="0" w:color="auto"/>
      </w:divBdr>
    </w:div>
    <w:div w:id="1186015977">
      <w:bodyDiv w:val="1"/>
      <w:marLeft w:val="0"/>
      <w:marRight w:val="0"/>
      <w:marTop w:val="0"/>
      <w:marBottom w:val="0"/>
      <w:divBdr>
        <w:top w:val="none" w:sz="0" w:space="0" w:color="auto"/>
        <w:left w:val="none" w:sz="0" w:space="0" w:color="auto"/>
        <w:bottom w:val="none" w:sz="0" w:space="0" w:color="auto"/>
        <w:right w:val="none" w:sz="0" w:space="0" w:color="auto"/>
      </w:divBdr>
    </w:div>
    <w:div w:id="1664776257">
      <w:bodyDiv w:val="1"/>
      <w:marLeft w:val="0"/>
      <w:marRight w:val="0"/>
      <w:marTop w:val="0"/>
      <w:marBottom w:val="0"/>
      <w:divBdr>
        <w:top w:val="none" w:sz="0" w:space="0" w:color="auto"/>
        <w:left w:val="none" w:sz="0" w:space="0" w:color="auto"/>
        <w:bottom w:val="none" w:sz="0" w:space="0" w:color="auto"/>
        <w:right w:val="none" w:sz="0" w:space="0" w:color="auto"/>
      </w:divBdr>
    </w:div>
    <w:div w:id="17998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Government Response to the Senate Finance and Public Administration Legislation Committee - Annual Reports (No 2 of 2009)</vt:lpstr>
    </vt:vector>
  </TitlesOfParts>
  <Company>Department of Finance and Deregulation</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Senate Finance and Public Administration Legislation Committee - Annual Reports (No 2 of 2009)</dc:title>
  <dc:creator>Department of Finance</dc:creator>
  <cp:lastModifiedBy>carcon</cp:lastModifiedBy>
  <cp:revision>4</cp:revision>
  <cp:lastPrinted>2014-09-04T22:49:00Z</cp:lastPrinted>
  <dcterms:created xsi:type="dcterms:W3CDTF">2014-09-26T03:22:00Z</dcterms:created>
  <dcterms:modified xsi:type="dcterms:W3CDTF">2014-09-26T03:25:00Z</dcterms:modified>
</cp:coreProperties>
</file>